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0BA" w:rsidRPr="00CC6CA2" w:rsidRDefault="008E3679" w:rsidP="00CC6CA2">
      <w:pPr>
        <w:spacing w:after="240" w:line="300" w:lineRule="atLeast"/>
        <w:textAlignment w:val="baseline"/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</w:pPr>
      <w:bookmarkStart w:id="0" w:name="_GoBack"/>
      <w:bookmarkEnd w:id="0"/>
      <w:r w:rsidRPr="00CC6CA2"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eastAsia="ru-RU"/>
        </w:rPr>
        <w:t>Отделением</w:t>
      </w:r>
      <w:r w:rsidR="002D71D6" w:rsidRPr="00CC6CA2">
        <w:rPr>
          <w:rFonts w:ascii="Arial" w:eastAsia="Times New Roman" w:hAnsi="Arial" w:cs="Arial"/>
          <w:b/>
          <w:bCs/>
          <w:kern w:val="36"/>
          <w:sz w:val="32"/>
          <w:szCs w:val="32"/>
          <w:u w:val="single"/>
          <w:lang w:eastAsia="ru-RU"/>
        </w:rPr>
        <w:t xml:space="preserve"> ПФР по КБР </w:t>
      </w:r>
      <w:r w:rsidR="002D71D6" w:rsidRPr="00CC6CA2"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  <w:t>уделяется особенное внимание</w:t>
      </w:r>
      <w:r w:rsidR="000F5CB9" w:rsidRPr="00CC6CA2"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  <w:t xml:space="preserve"> повышению</w:t>
      </w:r>
      <w:r w:rsidR="002D71D6" w:rsidRPr="00CC6CA2"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  <w:t xml:space="preserve"> доступности клиентских служб для всех категорий инвалидов</w:t>
      </w:r>
    </w:p>
    <w:p w:rsidR="00273C9F" w:rsidRDefault="002D71D6" w:rsidP="00C145C3">
      <w:pPr>
        <w:spacing w:after="240" w:line="360" w:lineRule="auto"/>
        <w:contextualSpacing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 w:rsidRPr="00AE05B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Одним из основополагающих подходов к организации деятельности </w:t>
      </w:r>
      <w:r w:rsidR="00C145C3" w:rsidRPr="00AE05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для </w:t>
      </w:r>
      <w:r w:rsidRPr="00AE05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Отделени</w:t>
      </w:r>
      <w:r w:rsidR="00C145C3" w:rsidRPr="00AE05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я</w:t>
      </w:r>
      <w:r w:rsidRPr="00AE05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ПФР по Кабардино-Балкарской Республике </w:t>
      </w:r>
      <w:r w:rsidR="00C145C3" w:rsidRPr="00AE05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является ориентирование на комфортность предоставления услуг для социально уязвимой категории инвалидов, и доступность территориальных органов Отделения для лиц, ограниченных в передвижении.</w:t>
      </w:r>
      <w:r w:rsidR="00273C9F" w:rsidRPr="00273C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B90FED" w:rsidRPr="00273C9F" w:rsidRDefault="008E3679" w:rsidP="00C145C3">
      <w:pPr>
        <w:spacing w:after="240" w:line="360" w:lineRule="auto"/>
        <w:contextualSpacing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контексте поэтапного проведения данной работы Отделение придерживается специализированного плана – «дорожной карты».  </w:t>
      </w:r>
      <w:r w:rsidR="00B90FED" w:rsidRPr="00AE05B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Генеральная </w:t>
      </w:r>
      <w:r w:rsidR="002D71D6" w:rsidRPr="00AE05B6">
        <w:rPr>
          <w:rFonts w:ascii="Arial" w:eastAsia="Times New Roman" w:hAnsi="Arial" w:cs="Arial"/>
          <w:sz w:val="24"/>
          <w:szCs w:val="24"/>
          <w:lang w:eastAsia="ru-RU"/>
        </w:rPr>
        <w:t>цель «дорожной карты»</w:t>
      </w:r>
      <w:r w:rsidR="00B97148" w:rsidRPr="00AE05B6">
        <w:rPr>
          <w:rFonts w:ascii="Arial" w:eastAsia="Times New Roman" w:hAnsi="Arial" w:cs="Arial"/>
          <w:sz w:val="24"/>
          <w:szCs w:val="24"/>
          <w:lang w:eastAsia="ru-RU"/>
        </w:rPr>
        <w:t>*</w:t>
      </w:r>
      <w:r w:rsidR="002D71D6" w:rsidRPr="00AE05B6">
        <w:rPr>
          <w:rFonts w:ascii="Arial" w:eastAsia="Times New Roman" w:hAnsi="Arial" w:cs="Arial"/>
          <w:sz w:val="24"/>
          <w:szCs w:val="24"/>
          <w:lang w:eastAsia="ru-RU"/>
        </w:rPr>
        <w:t xml:space="preserve"> - выяв</w:t>
      </w:r>
      <w:r w:rsidR="00B90FED" w:rsidRPr="00AE05B6">
        <w:rPr>
          <w:rFonts w:ascii="Arial" w:eastAsia="Times New Roman" w:hAnsi="Arial" w:cs="Arial"/>
          <w:sz w:val="24"/>
          <w:szCs w:val="24"/>
          <w:lang w:eastAsia="ru-RU"/>
        </w:rPr>
        <w:t>ление</w:t>
      </w:r>
      <w:r w:rsidR="002D71D6" w:rsidRPr="00AE05B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90FED" w:rsidRPr="00AE05B6">
        <w:rPr>
          <w:rFonts w:ascii="Arial" w:eastAsia="Times New Roman" w:hAnsi="Arial" w:cs="Arial"/>
          <w:sz w:val="24"/>
          <w:szCs w:val="24"/>
          <w:lang w:eastAsia="ru-RU"/>
        </w:rPr>
        <w:t xml:space="preserve"> возможных препятствий и иных трудностей</w:t>
      </w:r>
      <w:r w:rsidR="002D71D6" w:rsidRPr="00AE05B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B90FED" w:rsidRPr="00AE05B6">
        <w:rPr>
          <w:rFonts w:ascii="Arial" w:eastAsia="Times New Roman" w:hAnsi="Arial" w:cs="Arial"/>
          <w:sz w:val="24"/>
          <w:szCs w:val="24"/>
          <w:lang w:eastAsia="ru-RU"/>
        </w:rPr>
        <w:t>ограничивающих доступность</w:t>
      </w:r>
      <w:r w:rsidR="002D71D6" w:rsidRPr="00AE05B6">
        <w:rPr>
          <w:rFonts w:ascii="Arial" w:eastAsia="Times New Roman" w:hAnsi="Arial" w:cs="Arial"/>
          <w:sz w:val="24"/>
          <w:szCs w:val="24"/>
          <w:lang w:eastAsia="ru-RU"/>
        </w:rPr>
        <w:t xml:space="preserve"> граждан к физическому окружению (здания и сооружения), транспорту, информации и связи, а также другим объектам и услугам, открытым или предоставляемым для населения в ключевых сферах жизнедеятельности. </w:t>
      </w:r>
    </w:p>
    <w:p w:rsidR="00B90FED" w:rsidRPr="00AE05B6" w:rsidRDefault="00B90FED" w:rsidP="00C145C3">
      <w:pPr>
        <w:spacing w:after="240" w:line="360" w:lineRule="auto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E05B6">
        <w:rPr>
          <w:rFonts w:ascii="Arial" w:eastAsia="Times New Roman" w:hAnsi="Arial" w:cs="Arial"/>
          <w:sz w:val="24"/>
          <w:szCs w:val="24"/>
          <w:lang w:eastAsia="ru-RU"/>
        </w:rPr>
        <w:t>В зоне компетенции Отделения ПФР по КБР - планомерно внедряемое специализированное оборудование и оснащение помещений всех зданий и корпусов Отделения для беспрепятственного посещения маломобильной категорией населения,</w:t>
      </w:r>
      <w:r w:rsidR="008E3679">
        <w:rPr>
          <w:rFonts w:ascii="Arial" w:eastAsia="Times New Roman" w:hAnsi="Arial" w:cs="Arial"/>
          <w:sz w:val="24"/>
          <w:szCs w:val="24"/>
          <w:lang w:eastAsia="ru-RU"/>
        </w:rPr>
        <w:t xml:space="preserve"> а также</w:t>
      </w:r>
      <w:r w:rsidRPr="00AE05B6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организация </w:t>
      </w:r>
      <w:r w:rsidR="00553C8D" w:rsidRPr="00AE05B6">
        <w:rPr>
          <w:rFonts w:ascii="Arial" w:eastAsia="Times New Roman" w:hAnsi="Arial" w:cs="Arial"/>
          <w:sz w:val="24"/>
          <w:szCs w:val="24"/>
          <w:lang w:eastAsia="ru-RU"/>
        </w:rPr>
        <w:t>доступной среды в равной степени для всех категорий граждан.</w:t>
      </w:r>
    </w:p>
    <w:p w:rsidR="00851198" w:rsidRPr="00AE05B6" w:rsidRDefault="00851198" w:rsidP="00C145C3">
      <w:pPr>
        <w:spacing w:after="240" w:line="360" w:lineRule="auto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E05B6">
        <w:rPr>
          <w:rFonts w:ascii="Arial" w:eastAsia="Times New Roman" w:hAnsi="Arial" w:cs="Arial"/>
          <w:sz w:val="24"/>
          <w:szCs w:val="24"/>
          <w:lang w:eastAsia="ru-RU"/>
        </w:rPr>
        <w:t xml:space="preserve">Отделением </w:t>
      </w:r>
      <w:r w:rsidR="008E3679">
        <w:rPr>
          <w:rFonts w:ascii="Arial" w:eastAsia="Times New Roman" w:hAnsi="Arial" w:cs="Arial"/>
          <w:sz w:val="24"/>
          <w:szCs w:val="24"/>
          <w:lang w:eastAsia="ru-RU"/>
        </w:rPr>
        <w:t>сформирована</w:t>
      </w:r>
      <w:r w:rsidRPr="00AE05B6">
        <w:rPr>
          <w:rFonts w:ascii="Arial" w:eastAsia="Times New Roman" w:hAnsi="Arial" w:cs="Arial"/>
          <w:sz w:val="24"/>
          <w:szCs w:val="24"/>
          <w:lang w:eastAsia="ru-RU"/>
        </w:rPr>
        <w:t xml:space="preserve"> с</w:t>
      </w:r>
      <w:r w:rsidR="00D73610" w:rsidRPr="00AE05B6">
        <w:rPr>
          <w:rFonts w:ascii="Arial" w:eastAsia="Times New Roman" w:hAnsi="Arial" w:cs="Arial"/>
          <w:sz w:val="24"/>
          <w:szCs w:val="24"/>
          <w:lang w:eastAsia="ru-RU"/>
        </w:rPr>
        <w:t>пециальная рабочая группа</w:t>
      </w:r>
      <w:r w:rsidRPr="00AE05B6">
        <w:rPr>
          <w:rFonts w:ascii="Arial" w:eastAsia="Times New Roman" w:hAnsi="Arial" w:cs="Arial"/>
          <w:sz w:val="24"/>
          <w:szCs w:val="24"/>
          <w:lang w:eastAsia="ru-RU"/>
        </w:rPr>
        <w:t xml:space="preserve"> по проведению обследования и паспортизации всех управлений ГУ-ОПФР по КБР. В ее состав вошли представители общественных организаций инвалидов, осуществляющих свою деятельность на территории, где расположен объект.</w:t>
      </w:r>
      <w:r w:rsidR="00D73610" w:rsidRPr="00AE05B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2084C" w:rsidRDefault="0092084C" w:rsidP="00C145C3">
      <w:pPr>
        <w:spacing w:after="240" w:line="360" w:lineRule="auto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2084C">
        <w:rPr>
          <w:rFonts w:ascii="Arial" w:eastAsia="Times New Roman" w:hAnsi="Arial" w:cs="Arial"/>
          <w:sz w:val="24"/>
          <w:szCs w:val="24"/>
          <w:lang w:eastAsia="ru-RU"/>
        </w:rPr>
        <w:t xml:space="preserve">Во всех управлениях установлены переносные индукционные панели для беспроводной передачи аудиоинформации в слуховой аппарат  и беспроводные двухканальные системы вызова помощи. </w:t>
      </w:r>
    </w:p>
    <w:p w:rsidR="002D71D6" w:rsidRDefault="002D71D6" w:rsidP="00C145C3">
      <w:pPr>
        <w:spacing w:after="0" w:line="360" w:lineRule="auto"/>
        <w:contextualSpacing/>
        <w:jc w:val="both"/>
        <w:textAlignment w:val="baseline"/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  <w:lang w:eastAsia="ru-RU"/>
        </w:rPr>
      </w:pPr>
      <w:r w:rsidRPr="00AE05B6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  <w:lang w:eastAsia="ru-RU"/>
        </w:rPr>
        <w:t>* План утвержден в соответствии с Федеральным законом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инвалидов».</w:t>
      </w:r>
    </w:p>
    <w:p w:rsidR="00730D3A" w:rsidRPr="00CC6CA2" w:rsidRDefault="00730D3A" w:rsidP="00CC6CA2">
      <w:pPr>
        <w:shd w:val="clear" w:color="auto" w:fill="FFFFFF"/>
        <w:spacing w:line="405" w:lineRule="atLeast"/>
        <w:rPr>
          <w:rFonts w:ascii="Arial" w:eastAsia="Times New Roman" w:hAnsi="Arial" w:cs="Arial"/>
          <w:b/>
          <w:bCs/>
          <w:color w:val="404040" w:themeColor="text1" w:themeTint="BF"/>
          <w:sz w:val="32"/>
          <w:szCs w:val="32"/>
          <w:u w:val="single"/>
          <w:lang w:eastAsia="ru-RU"/>
        </w:rPr>
      </w:pPr>
      <w:r w:rsidRPr="00CC6CA2">
        <w:rPr>
          <w:rFonts w:ascii="Arial" w:eastAsia="Times New Roman" w:hAnsi="Arial" w:cs="Arial"/>
          <w:b/>
          <w:bCs/>
          <w:color w:val="404040" w:themeColor="text1" w:themeTint="BF"/>
          <w:sz w:val="32"/>
          <w:szCs w:val="32"/>
          <w:u w:val="single"/>
          <w:lang w:eastAsia="ru-RU"/>
        </w:rPr>
        <w:t>Консультация: «Как получить пенсию при смене жительства на территории России?»</w:t>
      </w:r>
    </w:p>
    <w:tbl>
      <w:tblPr>
        <w:tblW w:w="10848" w:type="dxa"/>
        <w:tblCellSpacing w:w="0" w:type="dxa"/>
        <w:tblBorders>
          <w:left w:val="single" w:sz="6" w:space="0" w:color="E7E8EC"/>
          <w:bottom w:val="single" w:sz="6" w:space="0" w:color="E7E8E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8"/>
      </w:tblGrid>
      <w:tr w:rsidR="00730D3A" w:rsidRPr="00F17A47" w:rsidTr="00F619AB">
        <w:trPr>
          <w:tblCellSpacing w:w="0" w:type="dxa"/>
        </w:trPr>
        <w:tc>
          <w:tcPr>
            <w:tcW w:w="10707" w:type="dxa"/>
            <w:tcBorders>
              <w:top w:val="single" w:sz="6" w:space="0" w:color="E7E8EC"/>
              <w:right w:val="single" w:sz="6" w:space="0" w:color="E7E8E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0D3A" w:rsidRPr="00C33266" w:rsidRDefault="00730D3A" w:rsidP="00F619AB">
            <w:pPr>
              <w:pStyle w:val="a5"/>
              <w:tabs>
                <w:tab w:val="left" w:pos="8364"/>
              </w:tabs>
              <w:spacing w:line="360" w:lineRule="auto"/>
              <w:jc w:val="both"/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</w:pPr>
            <w:r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  <w:t xml:space="preserve">          </w:t>
            </w:r>
            <w:r w:rsidRPr="00F17A47"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  <w:t>Если пенсионер меняет место жительства на территории РФ, например, переезжает из одного региона на постоянное место жительства в другой регион, он должен своевременно уведомить об этом ПФР, чтобы выплатное (пенсионное) дело было переправлено по новому месту жительства.</w:t>
            </w:r>
          </w:p>
          <w:p w:rsidR="00730D3A" w:rsidRPr="00730D3A" w:rsidRDefault="00730D3A" w:rsidP="00F619AB">
            <w:pPr>
              <w:pStyle w:val="a5"/>
              <w:tabs>
                <w:tab w:val="left" w:pos="8364"/>
              </w:tabs>
              <w:spacing w:line="360" w:lineRule="auto"/>
              <w:jc w:val="both"/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</w:pPr>
            <w:r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  <w:t xml:space="preserve">           </w:t>
            </w:r>
            <w:r w:rsidRPr="00F17A47"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  <w:t xml:space="preserve">Дело в том, что выплата пенсии и формирование пенсионного дела производится территориальным органом ПФР по месту жительства пенсионера. Помимо этого от места </w:t>
            </w:r>
            <w:r w:rsidRPr="00F17A47"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  <w:lastRenderedPageBreak/>
              <w:t>жительства будет также зависеть размер социальной доплаты к пенсии и иных доплат, если пенсионер имеет на них право.</w:t>
            </w:r>
          </w:p>
          <w:p w:rsidR="00730D3A" w:rsidRPr="00730D3A" w:rsidRDefault="00730D3A" w:rsidP="00F619AB">
            <w:pPr>
              <w:pStyle w:val="a5"/>
              <w:tabs>
                <w:tab w:val="left" w:pos="8364"/>
              </w:tabs>
              <w:spacing w:line="360" w:lineRule="auto"/>
              <w:jc w:val="both"/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</w:pPr>
            <w:r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  <w:t xml:space="preserve">          </w:t>
            </w:r>
            <w:r w:rsidRPr="00F17A47"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  <w:t>Для перевода пенсионного дела необходимо обратиться в территориальный орган ПФР по новому месту жительства и подать заявление в письменном виде обязательно, указав адрес фактического места проживания. Обратиться с подобным заявлением можно даже в том случае, если пенсионер не зарегистрирован по новому месту жительства или месту пребывания на территории РФ.</w:t>
            </w:r>
          </w:p>
          <w:p w:rsidR="00730D3A" w:rsidRPr="00730D3A" w:rsidRDefault="00730D3A" w:rsidP="00F619AB">
            <w:pPr>
              <w:pStyle w:val="a5"/>
              <w:tabs>
                <w:tab w:val="left" w:pos="8364"/>
              </w:tabs>
              <w:spacing w:line="360" w:lineRule="auto"/>
              <w:jc w:val="both"/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</w:pPr>
            <w:r w:rsidRPr="00F17A47"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  <w:t xml:space="preserve">Запрос на перевод дела оформляется в течение одного рабочего со дня обращения – день в день. После обработки запроса пенсионное дело перенаправляют не позднее трех рабочих дней. По новому месту жительства оформляется распоряжение о постановке его на учет и продлении выплаты пенсии не позднее двух рабочих дней. Однако окончательный срок ожидания пенсионного дела по новому месту жительства зависит от времени затраченного </w:t>
            </w:r>
            <w:r w:rsidRPr="00C33266"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  <w:t>на его доставку организаций почтовой связи.</w:t>
            </w:r>
          </w:p>
          <w:p w:rsidR="00730D3A" w:rsidRDefault="00730D3A" w:rsidP="00F619AB">
            <w:pPr>
              <w:pStyle w:val="a5"/>
              <w:tabs>
                <w:tab w:val="left" w:pos="8364"/>
              </w:tabs>
              <w:spacing w:line="360" w:lineRule="auto"/>
              <w:jc w:val="both"/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</w:pPr>
            <w:r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  <w:t xml:space="preserve">             </w:t>
            </w:r>
            <w:proofErr w:type="gramStart"/>
            <w:r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  <w:t>Е</w:t>
            </w:r>
            <w:r w:rsidRPr="00C33266"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  <w:t>сли получаешь пенсию на банковскую карту, тоже нужно уведомить ПФР по новому месту жительства обязательно, Во-первых, всё равно необходимо произвести перерасчёт</w:t>
            </w:r>
            <w:r w:rsidRPr="00F17A47"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  <w:t xml:space="preserve"> пенсии и иных доплат к ней в связи с переездом, а во-вторых, наличие пенсионного дела в территориальном органе ПФР по месту нового жительства поможет быстрее получить услуги ПФР при следующем обращении.</w:t>
            </w:r>
            <w:proofErr w:type="gramEnd"/>
          </w:p>
          <w:p w:rsidR="00C67B95" w:rsidRPr="00CC6CA2" w:rsidRDefault="00C67B95" w:rsidP="00CC6CA2">
            <w:pPr>
              <w:spacing w:after="192" w:line="288" w:lineRule="atLeast"/>
              <w:textAlignment w:val="baseline"/>
              <w:outlineLvl w:val="0"/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36"/>
                <w:sz w:val="32"/>
                <w:szCs w:val="32"/>
                <w:u w:val="single"/>
                <w:lang w:eastAsia="ru-RU"/>
              </w:rPr>
            </w:pPr>
            <w:r w:rsidRPr="00CC6CA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36"/>
                <w:sz w:val="32"/>
                <w:szCs w:val="32"/>
                <w:u w:val="single"/>
                <w:lang w:eastAsia="ru-RU"/>
              </w:rPr>
              <w:t>Как узнать о сформированных пенсионных правах</w:t>
            </w:r>
          </w:p>
          <w:p w:rsidR="00C67B95" w:rsidRPr="00BE7264" w:rsidRDefault="00C67B95" w:rsidP="00C67B95">
            <w:pPr>
              <w:spacing w:after="240" w:line="36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404040" w:themeColor="text1" w:themeTint="BF"/>
                <w:sz w:val="24"/>
                <w:szCs w:val="24"/>
                <w:lang w:eastAsia="ru-RU"/>
              </w:rPr>
            </w:pPr>
            <w:r w:rsidRPr="00BE7264">
              <w:rPr>
                <w:rFonts w:ascii="Arial" w:eastAsia="Times New Roman" w:hAnsi="Arial" w:cs="Arial"/>
                <w:b/>
                <w:color w:val="404040" w:themeColor="text1" w:themeTint="BF"/>
                <w:sz w:val="24"/>
                <w:szCs w:val="24"/>
                <w:lang w:eastAsia="ru-RU"/>
              </w:rPr>
              <w:t>Индивидуальный лицевой счет в Пенсионном фонде – не аналог банковского счета. На этом счете хранятся не деньги, а информация о Ваших пенсионных правах. Эта информация конфиденциальна и хранится с соблюдением установленных правил, предъявляемых к хранению персональных данных граждан.</w:t>
            </w:r>
          </w:p>
          <w:p w:rsidR="00C67B95" w:rsidRPr="00BE7264" w:rsidRDefault="00C67B95" w:rsidP="00C67B95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</w:pPr>
            <w:r w:rsidRPr="00BE7264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bdr w:val="none" w:sz="0" w:space="0" w:color="auto" w:frame="1"/>
                <w:lang w:eastAsia="ru-RU"/>
              </w:rPr>
              <w:t>С помощью Личного кабинета гражданина:</w:t>
            </w:r>
          </w:p>
          <w:p w:rsidR="00C67B95" w:rsidRPr="00BE7264" w:rsidRDefault="00C67B95" w:rsidP="00C67B95">
            <w:pPr>
              <w:spacing w:after="240" w:line="360" w:lineRule="auto"/>
              <w:jc w:val="both"/>
              <w:textAlignment w:val="baseline"/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</w:pPr>
            <w:r w:rsidRPr="00BE7264"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  <w:t>С его помощью можно узнать о количестве пенсионных  баллов и длительности страхового стажа, учтенных на лицевом счете, получить подробную информацию о периодах трудовой деятельности, местах работы, размере начисленных работодателями страховых взносов и уровне заработной платы.</w:t>
            </w:r>
          </w:p>
          <w:p w:rsidR="00C67B95" w:rsidRPr="00BE7264" w:rsidRDefault="00C67B95" w:rsidP="00C67B95">
            <w:pPr>
              <w:spacing w:after="240" w:line="360" w:lineRule="auto"/>
              <w:jc w:val="both"/>
              <w:textAlignment w:val="baseline"/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</w:pPr>
            <w:r w:rsidRPr="00BE7264"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  <w:t xml:space="preserve">Также сервис предоставляет информацию о пенсионных накоплениях, в том числе данные о взносах в рамках Программы </w:t>
            </w:r>
            <w:proofErr w:type="gramStart"/>
            <w:r w:rsidRPr="00BE7264"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BE7264"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264"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BE7264"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  <w:t xml:space="preserve"> пенсии.  Также в рамках сервиса можно воспользоваться персонализированной версией пенсионного калькулятора и узнать, что влияет на формирование пенсионных прав и размер будущей страховой пенсии.</w:t>
            </w:r>
          </w:p>
          <w:p w:rsidR="00C67B95" w:rsidRPr="00BE7264" w:rsidRDefault="00C67B95" w:rsidP="00C67B95">
            <w:pPr>
              <w:spacing w:after="240" w:line="360" w:lineRule="auto"/>
              <w:jc w:val="both"/>
              <w:textAlignment w:val="baseline"/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</w:pPr>
            <w:r w:rsidRPr="00BE7264"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  <w:t>Доступ к сервису имеют все пользователи, зарегистрированные на сайте www.gosuslugi.ru и в единой системе идентификац</w:t>
            </w:r>
            <w:proofErr w:type="gramStart"/>
            <w:r w:rsidRPr="00BE7264"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  <w:t>ии и ау</w:t>
            </w:r>
            <w:proofErr w:type="gramEnd"/>
            <w:r w:rsidRPr="00BE7264"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  <w:t>тентификации (ЕСИА).</w:t>
            </w:r>
          </w:p>
          <w:p w:rsidR="00C67B95" w:rsidRPr="00BE7264" w:rsidRDefault="00C67B95" w:rsidP="00C67B95">
            <w:pPr>
              <w:spacing w:after="0" w:line="360" w:lineRule="auto"/>
              <w:textAlignment w:val="baseline"/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</w:pPr>
            <w:r w:rsidRPr="00BE7264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Через Клиентскую службу ПФР:</w:t>
            </w:r>
          </w:p>
          <w:p w:rsidR="00C67B95" w:rsidRPr="00BE7264" w:rsidRDefault="00C67B95" w:rsidP="00C67B95">
            <w:pPr>
              <w:spacing w:after="240" w:line="360" w:lineRule="auto"/>
              <w:jc w:val="both"/>
              <w:textAlignment w:val="baseline"/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</w:pPr>
            <w:proofErr w:type="gramStart"/>
            <w:r w:rsidRPr="00BE7264"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  <w:t>Сведения о состоянии Вашего индивидуального лицевого счета, включающие информацию о состоянии специальной части индивидуального лицевого счета и о результатах инвестирования средств пенсионных накоплений, могут быть получены Вами способом, указанным при обращении, в том числе почтовым отправлением, в течение 10 дней со дня обращения.</w:t>
            </w:r>
            <w:proofErr w:type="gramEnd"/>
          </w:p>
          <w:p w:rsidR="00C67B95" w:rsidRPr="00BE7264" w:rsidRDefault="00C67B95" w:rsidP="00C67B95">
            <w:pPr>
              <w:spacing w:after="240" w:line="360" w:lineRule="auto"/>
              <w:jc w:val="both"/>
              <w:textAlignment w:val="baseline"/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</w:pPr>
            <w:r w:rsidRPr="00BE7264"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  <w:t>Для получения сведений необходимо прийти с паспортом и СНИЛС в Пенсионный фонд России по месту регистрации (в том числе временной) или фактического проживания и написать заявление.</w:t>
            </w:r>
          </w:p>
          <w:p w:rsidR="00C67B95" w:rsidRPr="00BE7264" w:rsidRDefault="00C67B95" w:rsidP="00C67B95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</w:pPr>
            <w:r w:rsidRPr="00BE7264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bdr w:val="none" w:sz="0" w:space="0" w:color="auto" w:frame="1"/>
                <w:lang w:eastAsia="ru-RU"/>
              </w:rPr>
              <w:t>Через портал www.gosuslugi.ru:</w:t>
            </w:r>
          </w:p>
          <w:p w:rsidR="00C67B95" w:rsidRPr="00BE7264" w:rsidRDefault="00C67B95" w:rsidP="00C67B95">
            <w:pPr>
              <w:spacing w:after="240" w:line="360" w:lineRule="auto"/>
              <w:jc w:val="both"/>
              <w:textAlignment w:val="baseline"/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</w:pPr>
            <w:r w:rsidRPr="00BE7264"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  <w:t>Для этого необходимо зарегистрироваться на Едином портале государственных и муниципальных услуг www.gosuslugi.ru. После получения кода доступа к «Личному кабинету» на портале в разделе «Электронные услуги» необходимо выбрать раздел «Министерство труда и социальной защиты Российской Федерации», затем подраздел «Пенсионный фонд Российской Федерации». В этом подразделе Вы сможете получить информацию о состоянии пенсионного счета в режиме онлайн.</w:t>
            </w:r>
          </w:p>
          <w:p w:rsidR="00C67B95" w:rsidRPr="00BE7264" w:rsidRDefault="00C67B95" w:rsidP="00C67B95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</w:pPr>
            <w:r w:rsidRPr="00BE7264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bdr w:val="none" w:sz="0" w:space="0" w:color="auto" w:frame="1"/>
                <w:lang w:eastAsia="ru-RU"/>
              </w:rPr>
              <w:t>Через банк:</w:t>
            </w:r>
          </w:p>
          <w:p w:rsidR="00C67B95" w:rsidRDefault="00C67B95" w:rsidP="00C67B95">
            <w:pPr>
              <w:spacing w:after="240" w:line="360" w:lineRule="auto"/>
              <w:jc w:val="both"/>
              <w:textAlignment w:val="baseline"/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</w:pPr>
            <w:r w:rsidRPr="00BE7264"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  <w:t xml:space="preserve">Для этого необходимо уточнить, предоставляет ли банк, клиентом которого вы являетесь, подобную услугу. Если да, то информацию о состоянии пенсионного счета можно получить в печатном виде у </w:t>
            </w:r>
            <w:proofErr w:type="spellStart"/>
            <w:r w:rsidRPr="00BE7264"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  <w:t>операциониста</w:t>
            </w:r>
            <w:proofErr w:type="spellEnd"/>
            <w:r w:rsidRPr="00BE7264"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  <w:t xml:space="preserve"> или через банкоматы, в электронной форме – воспользовавшись интернет-банкингом.</w:t>
            </w:r>
          </w:p>
          <w:p w:rsidR="00CC6CA2" w:rsidRPr="00CC6CA2" w:rsidRDefault="00CC6CA2" w:rsidP="00CC6CA2">
            <w:pPr>
              <w:spacing w:after="192" w:line="288" w:lineRule="atLeast"/>
              <w:textAlignment w:val="baseline"/>
              <w:outlineLvl w:val="0"/>
              <w:rPr>
                <w:rFonts w:ascii="Arial" w:eastAsia="Times New Roman" w:hAnsi="Arial" w:cs="Arial"/>
                <w:b/>
                <w:bCs/>
                <w:color w:val="595959" w:themeColor="text1" w:themeTint="A6"/>
                <w:kern w:val="36"/>
                <w:sz w:val="32"/>
                <w:szCs w:val="32"/>
                <w:u w:val="single"/>
                <w:lang w:eastAsia="ru-RU"/>
              </w:rPr>
            </w:pPr>
            <w:r w:rsidRPr="00CC6CA2">
              <w:rPr>
                <w:rFonts w:ascii="Arial" w:eastAsia="Times New Roman" w:hAnsi="Arial" w:cs="Arial"/>
                <w:b/>
                <w:bCs/>
                <w:color w:val="595959" w:themeColor="text1" w:themeTint="A6"/>
                <w:kern w:val="36"/>
                <w:sz w:val="32"/>
                <w:szCs w:val="32"/>
                <w:u w:val="single"/>
                <w:lang w:eastAsia="ru-RU"/>
              </w:rPr>
              <w:t>Вниманию плательщиков страховых взносов</w:t>
            </w:r>
          </w:p>
          <w:p w:rsidR="00CC6CA2" w:rsidRPr="00CC6CA2" w:rsidRDefault="00CC6CA2" w:rsidP="00CC6CA2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851A3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24"/>
                <w:szCs w:val="24"/>
                <w:bdr w:val="none" w:sz="0" w:space="0" w:color="auto" w:frame="1"/>
                <w:lang w:eastAsia="ru-RU"/>
              </w:rPr>
              <w:t>С 1 января 2017 года администрирование страховых взносов на обязательное пенсионное и медицинское страхование перешло от Пенсионного фонда в ведение Федеральной налоговой службы.</w:t>
            </w:r>
          </w:p>
          <w:p w:rsidR="00CC6CA2" w:rsidRPr="000851A3" w:rsidRDefault="00CC6CA2" w:rsidP="00CC6CA2">
            <w:pPr>
              <w:spacing w:after="240" w:line="360" w:lineRule="auto"/>
              <w:jc w:val="both"/>
              <w:textAlignment w:val="baseline"/>
              <w:rPr>
                <w:rFonts w:ascii="Arial" w:eastAsia="Times New Roman" w:hAnsi="Arial" w:cs="Arial"/>
                <w:color w:val="595959" w:themeColor="text1" w:themeTint="A6"/>
                <w:sz w:val="24"/>
                <w:szCs w:val="24"/>
                <w:lang w:eastAsia="ru-RU"/>
              </w:rPr>
            </w:pPr>
            <w:proofErr w:type="gramStart"/>
            <w:r w:rsidRPr="000851A3">
              <w:rPr>
                <w:rFonts w:ascii="Arial" w:eastAsia="Times New Roman" w:hAnsi="Arial" w:cs="Arial"/>
                <w:color w:val="595959" w:themeColor="text1" w:themeTint="A6"/>
                <w:sz w:val="24"/>
                <w:szCs w:val="24"/>
                <w:lang w:eastAsia="ru-RU"/>
              </w:rPr>
              <w:t>В связи с передачей функции администрирования в ФНС, для своевременного поступления в бюджетную систему Российской Федерации средств страховых взносов и их отражения в информационных ресурсах налоговых органов Пенсионный фонд публикует на своем сайте Сопоставительную таблицу доходов по страховым взносам и соответствующих им кодов подвидов бюджетов на 2017 год к применяемым в 2016 году.</w:t>
            </w:r>
            <w:proofErr w:type="gramEnd"/>
            <w:r>
              <w:rPr>
                <w:rFonts w:ascii="Arial" w:eastAsia="Times New Roman" w:hAnsi="Arial" w:cs="Arial"/>
                <w:color w:val="595959" w:themeColor="text1" w:themeTint="A6"/>
                <w:sz w:val="24"/>
                <w:szCs w:val="24"/>
                <w:lang w:eastAsia="ru-RU"/>
              </w:rPr>
              <w:t xml:space="preserve"> </w:t>
            </w:r>
            <w:r w:rsidRPr="000851A3">
              <w:rPr>
                <w:rFonts w:ascii="Arial" w:eastAsia="Times New Roman" w:hAnsi="Arial" w:cs="Arial"/>
                <w:color w:val="595959" w:themeColor="text1" w:themeTint="A6"/>
                <w:sz w:val="24"/>
                <w:szCs w:val="24"/>
                <w:lang w:eastAsia="ru-RU"/>
              </w:rPr>
              <w:t>С Сопоставительной таблицей можно ознакомиться в соответствующем разделе на </w:t>
            </w:r>
            <w:hyperlink r:id="rId5" w:history="1">
              <w:r w:rsidRPr="000851A3">
                <w:rPr>
                  <w:rFonts w:ascii="Arial" w:eastAsia="Times New Roman" w:hAnsi="Arial" w:cs="Arial"/>
                  <w:color w:val="595959" w:themeColor="text1" w:themeTint="A6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сайте ПФР</w:t>
              </w:r>
            </w:hyperlink>
            <w:r w:rsidRPr="000851A3">
              <w:rPr>
                <w:rFonts w:ascii="Arial" w:eastAsia="Times New Roman" w:hAnsi="Arial" w:cs="Arial"/>
                <w:color w:val="595959" w:themeColor="text1" w:themeTint="A6"/>
                <w:sz w:val="24"/>
                <w:szCs w:val="24"/>
                <w:lang w:eastAsia="ru-RU"/>
              </w:rPr>
              <w:t>.</w:t>
            </w:r>
          </w:p>
          <w:p w:rsidR="00CC6CA2" w:rsidRPr="005F5DE9" w:rsidRDefault="00CC6CA2" w:rsidP="00CC6CA2">
            <w:r>
              <w:t xml:space="preserve">Начальник УПФР ГУ-ОПФР по КБР в </w:t>
            </w:r>
            <w:proofErr w:type="spellStart"/>
            <w:r>
              <w:t>Зольском</w:t>
            </w:r>
            <w:proofErr w:type="spellEnd"/>
            <w:r>
              <w:t xml:space="preserve"> районе                                                                          Л.Х. </w:t>
            </w:r>
            <w:proofErr w:type="spellStart"/>
            <w:r>
              <w:t>Мамбетова</w:t>
            </w:r>
            <w:proofErr w:type="spellEnd"/>
          </w:p>
          <w:p w:rsidR="00CC6CA2" w:rsidRPr="00BE7264" w:rsidRDefault="00CC6CA2" w:rsidP="00C67B95">
            <w:pPr>
              <w:spacing w:after="240" w:line="360" w:lineRule="auto"/>
              <w:jc w:val="both"/>
              <w:textAlignment w:val="baseline"/>
              <w:rPr>
                <w:rFonts w:ascii="Arial" w:eastAsia="Times New Roman" w:hAnsi="Arial" w:cs="Arial"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C67B95" w:rsidRPr="008768CD" w:rsidRDefault="00C67B95" w:rsidP="00F619AB">
            <w:pPr>
              <w:pStyle w:val="a5"/>
              <w:tabs>
                <w:tab w:val="left" w:pos="8364"/>
              </w:tabs>
              <w:spacing w:line="360" w:lineRule="auto"/>
              <w:jc w:val="both"/>
              <w:rPr>
                <w:rFonts w:ascii="Arial" w:hAnsi="Arial" w:cs="Arial"/>
                <w:color w:val="404040" w:themeColor="text1" w:themeTint="BF"/>
                <w:sz w:val="24"/>
                <w:lang w:eastAsia="ru-RU"/>
              </w:rPr>
            </w:pPr>
          </w:p>
        </w:tc>
      </w:tr>
    </w:tbl>
    <w:p w:rsidR="00730D3A" w:rsidRPr="00F17A47" w:rsidRDefault="00730D3A" w:rsidP="00730D3A">
      <w:pPr>
        <w:pStyle w:val="a5"/>
        <w:tabs>
          <w:tab w:val="left" w:pos="8364"/>
        </w:tabs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lang w:eastAsia="ru-RU"/>
        </w:rPr>
      </w:pPr>
    </w:p>
    <w:p w:rsidR="00C2240D" w:rsidRPr="00AE05B6" w:rsidRDefault="001B2186" w:rsidP="00C145C3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sectPr w:rsidR="00C2240D" w:rsidRPr="00AE05B6" w:rsidSect="00846298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1D6"/>
    <w:rsid w:val="000F5CB9"/>
    <w:rsid w:val="001B2186"/>
    <w:rsid w:val="00273C9F"/>
    <w:rsid w:val="002D71D6"/>
    <w:rsid w:val="00382788"/>
    <w:rsid w:val="003A794C"/>
    <w:rsid w:val="00512A97"/>
    <w:rsid w:val="00553C8D"/>
    <w:rsid w:val="005C37BD"/>
    <w:rsid w:val="00626997"/>
    <w:rsid w:val="006A0B0A"/>
    <w:rsid w:val="00730D3A"/>
    <w:rsid w:val="0080344B"/>
    <w:rsid w:val="008050BA"/>
    <w:rsid w:val="00825AED"/>
    <w:rsid w:val="00846298"/>
    <w:rsid w:val="00851198"/>
    <w:rsid w:val="008E3679"/>
    <w:rsid w:val="0092084C"/>
    <w:rsid w:val="00AE05B6"/>
    <w:rsid w:val="00B076C3"/>
    <w:rsid w:val="00B90FED"/>
    <w:rsid w:val="00B97148"/>
    <w:rsid w:val="00BB114F"/>
    <w:rsid w:val="00C145C3"/>
    <w:rsid w:val="00C43934"/>
    <w:rsid w:val="00C67B95"/>
    <w:rsid w:val="00C955A0"/>
    <w:rsid w:val="00CC6CA2"/>
    <w:rsid w:val="00D73610"/>
    <w:rsid w:val="00DD61A1"/>
    <w:rsid w:val="00F462E3"/>
    <w:rsid w:val="00F5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1D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30D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1D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30D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5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2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2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/strahovatelyam/for_employers/rabbot_vzaim_s_pfr_do/~38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1</cp:lastModifiedBy>
  <cp:revision>2</cp:revision>
  <dcterms:created xsi:type="dcterms:W3CDTF">2017-06-20T13:11:00Z</dcterms:created>
  <dcterms:modified xsi:type="dcterms:W3CDTF">2017-06-20T13:11:00Z</dcterms:modified>
</cp:coreProperties>
</file>