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CellMar>
          <w:left w:w="0" w:type="dxa"/>
          <w:right w:w="0" w:type="dxa"/>
        </w:tblCellMar>
        <w:tblLook w:val="04A0"/>
      </w:tblPr>
      <w:tblGrid>
        <w:gridCol w:w="573"/>
        <w:gridCol w:w="143"/>
        <w:gridCol w:w="144"/>
        <w:gridCol w:w="143"/>
        <w:gridCol w:w="2866"/>
        <w:gridCol w:w="286"/>
        <w:gridCol w:w="430"/>
        <w:gridCol w:w="860"/>
        <w:gridCol w:w="429"/>
        <w:gridCol w:w="430"/>
        <w:gridCol w:w="144"/>
        <w:gridCol w:w="429"/>
        <w:gridCol w:w="287"/>
        <w:gridCol w:w="287"/>
        <w:gridCol w:w="143"/>
        <w:gridCol w:w="143"/>
        <w:gridCol w:w="573"/>
        <w:gridCol w:w="144"/>
        <w:gridCol w:w="286"/>
        <w:gridCol w:w="573"/>
        <w:gridCol w:w="430"/>
        <w:gridCol w:w="143"/>
        <w:gridCol w:w="573"/>
        <w:gridCol w:w="430"/>
        <w:gridCol w:w="144"/>
        <w:gridCol w:w="143"/>
        <w:gridCol w:w="286"/>
        <w:gridCol w:w="717"/>
        <w:gridCol w:w="143"/>
        <w:gridCol w:w="287"/>
        <w:gridCol w:w="716"/>
        <w:gridCol w:w="430"/>
        <w:gridCol w:w="286"/>
        <w:gridCol w:w="430"/>
        <w:gridCol w:w="1132"/>
        <w:gridCol w:w="26"/>
      </w:tblGrid>
      <w:tr w:rsidR="00D0096B">
        <w:trPr>
          <w:trHeight w:hRule="exact" w:val="573"/>
        </w:trPr>
        <w:tc>
          <w:tcPr>
            <w:tcW w:w="15618" w:type="dxa"/>
            <w:gridSpan w:val="36"/>
          </w:tcPr>
          <w:p w:rsidR="00D0096B" w:rsidRPr="00EF639F" w:rsidRDefault="008851B0">
            <w:pPr>
              <w:rPr>
                <w:color w:val="FFFFFF" w:themeColor="background1"/>
              </w:rPr>
            </w:pPr>
            <w:r>
              <w:rPr>
                <w:noProof/>
                <w:color w:val="FFFFFF" w:themeColor="background1"/>
              </w:rPr>
              <w:pict>
                <v:rect id="Прямоугольник 10" o:spid="_x0000_s1026" style="position:absolute;margin-left:531.6pt;margin-top:-42.9pt;width:266.4pt;height:114.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" fillcolor="#4f81bd [3204]" strokecolor="#243f60 [1604]" strokeweight="2pt">
                  <v:textbox>
                    <w:txbxContent>
                      <w:p w:rsidR="00EF639F" w:rsidRPr="00EF639F" w:rsidRDefault="00EF639F" w:rsidP="00EF639F">
                        <w:pPr>
                          <w:jc w:val="right"/>
                          <w:rPr>
                            <w:rFonts w:ascii="Times New Roman" w:eastAsia="Times New Roman" w:hAnsi="Times New Roman" w:cs="Times New Roman"/>
                            <w:sz w:val="24"/>
                            <w:szCs w:val="24"/>
                          </w:rPr>
                        </w:pPr>
                        <w:r w:rsidRPr="00EF639F">
                          <w:rPr>
                            <w:rFonts w:ascii="Times New Roman" w:eastAsia="Times New Roman" w:hAnsi="Times New Roman" w:cs="Times New Roman"/>
                            <w:sz w:val="24"/>
                            <w:szCs w:val="24"/>
                          </w:rPr>
                          <w:t>Утверждено</w:t>
                        </w:r>
                      </w:p>
                      <w:p w:rsidR="00EF639F" w:rsidRPr="00EF639F" w:rsidRDefault="00EF639F" w:rsidP="00EF639F">
                        <w:pPr>
                          <w:jc w:val="right"/>
                          <w:rPr>
                            <w:rFonts w:ascii="Times New Roman" w:eastAsia="Times New Roman" w:hAnsi="Times New Roman" w:cs="Times New Roman"/>
                            <w:sz w:val="24"/>
                            <w:szCs w:val="24"/>
                          </w:rPr>
                        </w:pPr>
                        <w:r w:rsidRPr="00EF639F">
                          <w:rPr>
                            <w:rFonts w:ascii="Times New Roman" w:eastAsia="Times New Roman" w:hAnsi="Times New Roman" w:cs="Times New Roman"/>
                            <w:sz w:val="24"/>
                            <w:szCs w:val="24"/>
                          </w:rPr>
                          <w:t xml:space="preserve">Решением президиума </w:t>
                        </w:r>
                      </w:p>
                      <w:p w:rsidR="00EF639F" w:rsidRPr="00EF639F" w:rsidRDefault="00EF639F" w:rsidP="00EF639F">
                        <w:pPr>
                          <w:jc w:val="right"/>
                          <w:rPr>
                            <w:rFonts w:ascii="Times New Roman" w:eastAsia="Times New Roman" w:hAnsi="Times New Roman" w:cs="Times New Roman"/>
                            <w:sz w:val="24"/>
                            <w:szCs w:val="24"/>
                          </w:rPr>
                        </w:pPr>
                        <w:r w:rsidRPr="00EF639F">
                          <w:rPr>
                            <w:rFonts w:ascii="Times New Roman" w:eastAsia="Times New Roman" w:hAnsi="Times New Roman" w:cs="Times New Roman"/>
                            <w:sz w:val="24"/>
                            <w:szCs w:val="24"/>
                          </w:rPr>
                          <w:t>Совета при Главе Кабардино-Балкарской Республики</w:t>
                        </w:r>
                      </w:p>
                      <w:p w:rsidR="00EF639F" w:rsidRPr="00EF639F" w:rsidRDefault="00EF639F" w:rsidP="00EF639F">
                        <w:pPr>
                          <w:jc w:val="right"/>
                          <w:rPr>
                            <w:rFonts w:ascii="Times New Roman" w:eastAsia="Times New Roman" w:hAnsi="Times New Roman" w:cs="Times New Roman"/>
                            <w:sz w:val="24"/>
                            <w:szCs w:val="24"/>
                          </w:rPr>
                        </w:pPr>
                        <w:r w:rsidRPr="00EF639F">
                          <w:rPr>
                            <w:rFonts w:ascii="Times New Roman" w:eastAsia="Times New Roman" w:hAnsi="Times New Roman" w:cs="Times New Roman"/>
                            <w:sz w:val="24"/>
                            <w:szCs w:val="24"/>
                          </w:rPr>
                          <w:t>по стратегическому развитию и национальным проектам</w:t>
                        </w:r>
                      </w:p>
                      <w:p w:rsidR="00EF639F" w:rsidRPr="00EF639F" w:rsidRDefault="00EF639F" w:rsidP="00EF639F">
                        <w:pPr>
                          <w:jc w:val="right"/>
                          <w:rPr>
                            <w:rFonts w:ascii="Times New Roman" w:eastAsia="Times New Roman" w:hAnsi="Times New Roman" w:cs="Times New Roman"/>
                            <w:sz w:val="24"/>
                            <w:szCs w:val="24"/>
                          </w:rPr>
                        </w:pPr>
                        <w:r w:rsidRPr="00EF639F">
                          <w:rPr>
                            <w:rFonts w:ascii="Times New Roman" w:eastAsia="Times New Roman" w:hAnsi="Times New Roman" w:cs="Times New Roman"/>
                            <w:sz w:val="24"/>
                            <w:szCs w:val="24"/>
                          </w:rPr>
                          <w:t xml:space="preserve">от 12 декабря 2018 г. №2 </w:t>
                        </w:r>
                      </w:p>
                      <w:p w:rsidR="00EF639F" w:rsidRDefault="00EF639F" w:rsidP="00EF639F">
                        <w:pPr>
                          <w:jc w:val="center"/>
                        </w:pPr>
                      </w:p>
                    </w:txbxContent>
                  </v:textbox>
                </v:rect>
              </w:pict>
            </w:r>
          </w:p>
        </w:tc>
      </w:tr>
      <w:tr w:rsidR="00D0096B">
        <w:trPr>
          <w:trHeight w:hRule="exact" w:val="387"/>
        </w:trPr>
        <w:tc>
          <w:tcPr>
            <w:tcW w:w="15618" w:type="dxa"/>
            <w:gridSpan w:val="36"/>
            <w:shd w:val="clear" w:color="auto" w:fill="auto"/>
            <w:vAlign w:val="center"/>
          </w:tcPr>
          <w:p w:rsidR="00D0096B" w:rsidRDefault="00D67720">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П А С П О Р Т</w:t>
            </w:r>
          </w:p>
        </w:tc>
      </w:tr>
      <w:tr w:rsidR="00D0096B">
        <w:trPr>
          <w:trHeight w:hRule="exact" w:val="43"/>
        </w:trPr>
        <w:tc>
          <w:tcPr>
            <w:tcW w:w="15618" w:type="dxa"/>
            <w:gridSpan w:val="36"/>
          </w:tcPr>
          <w:p w:rsidR="00D0096B" w:rsidRDefault="00D0096B"/>
        </w:tc>
      </w:tr>
      <w:tr w:rsidR="00D0096B">
        <w:trPr>
          <w:trHeight w:hRule="exact" w:val="387"/>
        </w:trPr>
        <w:tc>
          <w:tcPr>
            <w:tcW w:w="15618" w:type="dxa"/>
            <w:gridSpan w:val="36"/>
            <w:shd w:val="clear" w:color="auto" w:fill="auto"/>
            <w:vAlign w:val="center"/>
          </w:tcPr>
          <w:p w:rsidR="00D0096B" w:rsidRDefault="00D67720">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регионального проекта</w:t>
            </w:r>
          </w:p>
        </w:tc>
      </w:tr>
      <w:tr w:rsidR="00D0096B">
        <w:trPr>
          <w:trHeight w:hRule="exact" w:val="43"/>
        </w:trPr>
        <w:tc>
          <w:tcPr>
            <w:tcW w:w="15618" w:type="dxa"/>
            <w:gridSpan w:val="36"/>
          </w:tcPr>
          <w:p w:rsidR="00D0096B" w:rsidRDefault="00D0096B"/>
        </w:tc>
      </w:tr>
      <w:tr w:rsidR="00D0096B">
        <w:trPr>
          <w:trHeight w:hRule="exact" w:val="573"/>
        </w:trPr>
        <w:tc>
          <w:tcPr>
            <w:tcW w:w="15618" w:type="dxa"/>
            <w:gridSpan w:val="36"/>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Цифровая образовательная среда (Кабардино-Балкарская Республика)</w:t>
            </w:r>
          </w:p>
        </w:tc>
      </w:tr>
      <w:tr w:rsidR="00D0096B">
        <w:trPr>
          <w:trHeight w:hRule="exact" w:val="716"/>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D0096B">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федерального проекта</w:t>
            </w:r>
          </w:p>
        </w:tc>
        <w:tc>
          <w:tcPr>
            <w:tcW w:w="11033" w:type="dxa"/>
            <w:gridSpan w:val="2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Цифровая образовательная среда</w:t>
            </w:r>
          </w:p>
        </w:tc>
      </w:tr>
      <w:tr w:rsidR="00D0096B">
        <w:trPr>
          <w:trHeight w:hRule="exact" w:val="574"/>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регионального</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4728" w:type="dxa"/>
            <w:gridSpan w:val="1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Цифровая образовательная среда (Кабардино-Балкарская Республика)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начала и</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окончания проекта</w:t>
            </w:r>
          </w:p>
        </w:tc>
        <w:tc>
          <w:tcPr>
            <w:tcW w:w="3296"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01.11.2018 - 30.12.2024</w:t>
            </w:r>
          </w:p>
        </w:tc>
      </w:tr>
      <w:tr w:rsidR="00D0096B">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регионального проекта</w:t>
            </w:r>
          </w:p>
        </w:tc>
        <w:tc>
          <w:tcPr>
            <w:tcW w:w="11033" w:type="dxa"/>
            <w:gridSpan w:val="2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Мовсисян Грант Олегович, ЗАМЕСТИТЕЛЬ ПРЕДСЕДАТЕЛЯ ПРАВИТЕЛЬСТВА КАБАРДИНО-БАЛКАРСКОЙ РЕСПУБЛИКИ </w:t>
            </w:r>
          </w:p>
        </w:tc>
      </w:tr>
      <w:tr w:rsidR="00D0096B">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11033" w:type="dxa"/>
            <w:gridSpan w:val="2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Ауес Мухамедович, МИНИСТР</w:t>
            </w:r>
          </w:p>
        </w:tc>
      </w:tr>
      <w:tr w:rsidR="00D0096B">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11033" w:type="dxa"/>
            <w:gridSpan w:val="2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Ирина Васильевна, ЗАМЕСТИТЕЛЬ МИНИСТРА </w:t>
            </w:r>
          </w:p>
        </w:tc>
      </w:tr>
      <w:tr w:rsidR="00D0096B">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субъекта Российской Федерации</w:t>
            </w:r>
          </w:p>
        </w:tc>
        <w:tc>
          <w:tcPr>
            <w:tcW w:w="11033" w:type="dxa"/>
            <w:gridSpan w:val="2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Кабардино-Балкарской Республики "Развитие образования в Кабардино-Балкарской Республике"</w:t>
            </w:r>
          </w:p>
        </w:tc>
      </w:tr>
      <w:tr w:rsidR="00D0096B">
        <w:trPr>
          <w:trHeight w:hRule="exact" w:val="430"/>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r>
      <w:tr w:rsidR="00D0096B">
        <w:trPr>
          <w:trHeight w:hRule="exact" w:val="573"/>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r>
      <w:tr w:rsidR="00D0096B">
        <w:trPr>
          <w:trHeight w:hRule="exact" w:val="974"/>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 (Кабардино-Балкарская Республика)</w:t>
            </w:r>
          </w:p>
        </w:tc>
      </w:tr>
      <w:tr w:rsidR="00D0096B">
        <w:trPr>
          <w:trHeight w:hRule="exact" w:val="43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D0096B">
        <w:trPr>
          <w:trHeight w:hRule="exact" w:val="43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D0096B">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D0096B">
        <w:trPr>
          <w:trHeight w:hRule="exact" w:val="716"/>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r>
      <w:tr w:rsidR="00D0096B">
        <w:trPr>
          <w:trHeight w:hRule="exact" w:val="2565"/>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ЕД</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r>
      <w:tr w:rsidR="00D0096B">
        <w:trPr>
          <w:trHeight w:hRule="exact" w:val="429"/>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D0096B">
        <w:trPr>
          <w:trHeight w:hRule="exact" w:val="574"/>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r>
      <w:tr w:rsidR="00D0096B">
        <w:trPr>
          <w:trHeight w:hRule="exact" w:val="974"/>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D0096B">
        <w:trPr>
          <w:trHeight w:hRule="exact" w:val="194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85,0000</w:t>
            </w:r>
          </w:p>
        </w:tc>
        <w:tc>
          <w:tcPr>
            <w:tcW w:w="114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95,0000</w:t>
            </w:r>
          </w:p>
        </w:tc>
      </w:tr>
      <w:tr w:rsidR="00D0096B">
        <w:trPr>
          <w:trHeight w:hRule="exact" w:val="1934"/>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8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D0096B">
        <w:trPr>
          <w:trHeight w:hRule="exact" w:val="573"/>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r>
      <w:tr w:rsidR="00D0096B">
        <w:trPr>
          <w:trHeight w:hRule="exact" w:val="974"/>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w:t>
            </w:r>
            <w:bookmarkStart w:id="0" w:name="_GoBack"/>
            <w:r>
              <w:rPr>
                <w:rFonts w:ascii="Times New Roman" w:eastAsia="Times New Roman" w:hAnsi="Times New Roman" w:cs="Times New Roman"/>
                <w:color w:val="000000"/>
                <w:spacing w:val="-2"/>
                <w:sz w:val="24"/>
              </w:rPr>
              <w:t>федеральной информационно-сервисной платформы цифровой образовательной среды</w:t>
            </w:r>
            <w:bookmarkEnd w:id="0"/>
            <w:r>
              <w:rPr>
                <w:rFonts w:ascii="Times New Roman" w:eastAsia="Times New Roman" w:hAnsi="Times New Roman" w:cs="Times New Roman"/>
                <w:color w:val="000000"/>
                <w:spacing w:val="-2"/>
                <w:sz w:val="24"/>
              </w:rPr>
              <w:t>, в общем числе образовательных организаций</w:t>
            </w:r>
          </w:p>
        </w:tc>
      </w:tr>
      <w:tr w:rsidR="00D0096B">
        <w:trPr>
          <w:trHeight w:hRule="exact" w:val="167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75,0000</w:t>
            </w:r>
          </w:p>
        </w:tc>
        <w:tc>
          <w:tcPr>
            <w:tcW w:w="114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r>
      <w:tr w:rsidR="00D0096B">
        <w:trPr>
          <w:trHeight w:hRule="exact" w:val="1677"/>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8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974"/>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r>
      <w:tr w:rsidR="00D0096B">
        <w:trPr>
          <w:trHeight w:hRule="exact" w:val="1548"/>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15,0000</w:t>
            </w:r>
          </w:p>
        </w:tc>
        <w:tc>
          <w:tcPr>
            <w:tcW w:w="114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25,0000</w:t>
            </w:r>
          </w:p>
        </w:tc>
      </w:tr>
      <w:tr w:rsidR="00D0096B">
        <w:trPr>
          <w:trHeight w:hRule="exact" w:val="153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8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D0096B">
        <w:trPr>
          <w:trHeight w:hRule="exact" w:val="574"/>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r>
      <w:tr w:rsidR="00D0096B">
        <w:trPr>
          <w:trHeight w:hRule="exact" w:val="974"/>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r>
      <w:tr w:rsidR="00D0096B">
        <w:trPr>
          <w:trHeight w:hRule="exact" w:val="154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35,0000</w:t>
            </w:r>
          </w:p>
        </w:tc>
        <w:tc>
          <w:tcPr>
            <w:tcW w:w="114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55,0000</w:t>
            </w:r>
          </w:p>
        </w:tc>
      </w:tr>
      <w:tr w:rsidR="00D0096B">
        <w:trPr>
          <w:trHeight w:hRule="exact" w:val="153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8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D0096B">
        <w:trPr>
          <w:trHeight w:hRule="exact" w:val="573"/>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Результаты регионального проекта</w:t>
            </w:r>
          </w:p>
        </w:tc>
      </w:tr>
      <w:tr w:rsidR="00D0096B">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D0096B">
        <w:trPr>
          <w:trHeight w:hRule="exact" w:val="430"/>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Задача национального проекта (справочно из паспорта федерального проекта): </w:t>
            </w:r>
            <w:r>
              <w:rPr>
                <w:rFonts w:ascii="Times New Roman" w:eastAsia="Times New Roman" w:hAnsi="Times New Roman" w:cs="Times New Roman"/>
                <w:color w:val="FFFFFF"/>
                <w:spacing w:val="-2"/>
                <w:sz w:val="24"/>
                <w:szCs w:val="24"/>
              </w:rPr>
              <w:t>0</w:t>
            </w:r>
          </w:p>
          <w:p w:rsidR="00D0096B" w:rsidRDefault="00D0096B"/>
        </w:tc>
      </w:tr>
      <w:tr w:rsidR="00D0096B">
        <w:trPr>
          <w:trHeight w:hRule="exact" w:val="157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02"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w:t>
            </w:r>
          </w:p>
          <w:p w:rsidR="00D0096B" w:rsidRDefault="00D0096B"/>
        </w:tc>
      </w:tr>
      <w:tr w:rsidR="00D0096B">
        <w:trPr>
          <w:trHeight w:hRule="exact" w:val="13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Внедрена федеральная информационно-сервисная платформа цифровой образовательной среды и набор типовых информационных решений  во всех муниципальных образованиях Кабардино-Балкарской Республики</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r>
      <w:tr w:rsidR="00D0096B">
        <w:trPr>
          <w:trHeight w:hRule="exact" w:val="57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концу 2024 года 90%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D0096B" w:rsidRDefault="00D0096B"/>
        </w:tc>
      </w:tr>
      <w:tr w:rsidR="00D0096B">
        <w:trPr>
          <w:trHeight w:hRule="exact" w:val="57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31.12.2024 - 90 Ц/ГА</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D0096B">
        <w:trPr>
          <w:trHeight w:hRule="exact" w:val="220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а также гарантированным интернет-трафиком</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Обеспечение к концу 2024 года Интернет-соединением и гарантированным интернет-трафиком 100 % образовательных организаций, расположенных на территории Кабардино-Балкарской Республики  , позволит:</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создать организационные и технические условия для внедрения и реализации целевой модели ЦОС, функционирования федеральной информационно-сервисной платформы цифровой образовательной среды;</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обеспечить гарантированный доступ обучающихся в общеобразовательных организациях к сети Интернет;</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оптимизировать финансовую нагрузку на общеобразовательные организации в части обеспечения доступа к ресурсам сети Интернет​</w:t>
            </w:r>
          </w:p>
          <w:p w:rsidR="00D0096B" w:rsidRDefault="00D0096B"/>
        </w:tc>
      </w:tr>
      <w:tr w:rsidR="00D0096B">
        <w:trPr>
          <w:trHeight w:hRule="exact" w:val="20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31.12.2024 - 100 Ц/ГА</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11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Создана сеть центров цифрового образования детей, в том числе за счет федеральной поддержки 13 центров цифрового образования «IT-куб» с годовым охватом 5200 детей</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Создание к концу 2024 года не менее 13 центров цифрового образования «IT-куб», позволит обеспечить на инфраструктурно-содержательном уровне продвижение компетенций в области цифровизации (современные </w:t>
            </w:r>
            <w:r>
              <w:rPr>
                <w:rFonts w:ascii="Times New Roman" w:eastAsia="Times New Roman" w:hAnsi="Times New Roman" w:cs="Times New Roman"/>
                <w:spacing w:val="-2"/>
                <w:sz w:val="24"/>
                <w:szCs w:val="24"/>
              </w:rPr>
              <w:lastRenderedPageBreak/>
              <w:t>информационные технологии, искусственный интеллект, большие данные, облачные пространства, программирование и администрирование цифровых операций) среди подрастающего поколения,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w:t>
            </w:r>
          </w:p>
          <w:p w:rsidR="00D0096B" w:rsidRDefault="00D0096B"/>
        </w:tc>
      </w:tr>
      <w:tr w:rsidR="00D0096B">
        <w:trPr>
          <w:trHeight w:hRule="exact" w:val="19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31.12.2024 - 13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w:t>
            </w:r>
          </w:p>
        </w:tc>
      </w:tr>
      <w:tr w:rsidR="00D0096B">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D0096B">
        <w:trPr>
          <w:trHeight w:hRule="exact" w:val="166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 обучающимся, по программам общего образования, дополнительного образования для детей и среднего профессионального образования, предоставлен доступ  на Едином портале государственных услуг (ЕПГУ) в личный кабинет «Образование»</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концу 2024 года 70% обучающимся по программам общего образования, дополнительного образования для детей и среднего профессионального образования на ЕГПУ доступен личный кабинет «Образование»,  который  обеспечивает:  фиксацию  образовательных результатов; просмотр индивидуального плана обучения;  доступ к цифровому образовательному профилю,  включающего в себя сервисы по получению образовательных услуг и государственных услуг в сфере образования в электронной форме</w:t>
            </w:r>
          </w:p>
          <w:p w:rsidR="00D0096B" w:rsidRDefault="00D0096B"/>
        </w:tc>
      </w:tr>
      <w:tr w:rsidR="00D0096B">
        <w:trPr>
          <w:trHeight w:hRule="exact" w:val="88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31.12.2024 - 70 Ц/ГА</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 всех образовательных организациях, расположенных на территории Кабардино-Балкарской Республики внедрены механизмы обеспечения оценки качества результатов промежуточной и итоговой аттестации обучающихся на онлайн-курсах, независимо от места их нахождения, в том числе на основе применения биометрических данных</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r>
      <w:tr w:rsidR="00D0096B">
        <w:trPr>
          <w:trHeight w:hRule="exact" w:val="57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D0096B">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D0096B">
        <w:trPr>
          <w:trHeight w:hRule="exact" w:val="716"/>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Задача национального проекта (справочно из паспорта федерального проекта): Создание современной и безопасной цифровой образовательной среды, обеспечивающей высокое качество и доступность образования всех видов и уровней </w:t>
            </w:r>
            <w:r>
              <w:rPr>
                <w:rFonts w:ascii="Times New Roman" w:eastAsia="Times New Roman" w:hAnsi="Times New Roman" w:cs="Times New Roman"/>
                <w:color w:val="FFFFFF"/>
                <w:spacing w:val="-2"/>
                <w:sz w:val="24"/>
                <w:szCs w:val="24"/>
              </w:rPr>
              <w:t>0</w:t>
            </w:r>
          </w:p>
          <w:p w:rsidR="00D0096B" w:rsidRDefault="00D0096B"/>
        </w:tc>
      </w:tr>
      <w:tr w:rsidR="00D0096B">
        <w:trPr>
          <w:trHeight w:hRule="exact" w:val="189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14902" w:type="dxa"/>
            <w:gridSpan w:val="3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Внедрение к концу 2024 года целевой модели ЦОС во всех субъектах Российской Федерации позволит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Значение динамики субъектов Российской Федерации, внедривших целевую модель цифровой образовательной среды,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D0096B" w:rsidRDefault="00D0096B"/>
        </w:tc>
      </w:tr>
      <w:tr w:rsidR="00D0096B">
        <w:trPr>
          <w:trHeight w:hRule="exact" w:val="18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4902" w:type="dxa"/>
            <w:gridSpan w:val="3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11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r>
      <w:tr w:rsidR="00D0096B">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31.12.2019 - 1 ЕД</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 ЕД</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31.12.2021 - 1 ЕД</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 ЕД</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 ЕД</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D0096B">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D0096B">
        <w:trPr>
          <w:trHeight w:hRule="exact" w:val="212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902" w:type="dxa"/>
            <w:gridSpan w:val="3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Обновление к концу 2022 года всеми образовательными организациями информационных представительств в сети Интернет и иных общедоступных информационных ресурсов позволит: </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 обеспечить представление информации об образовательных организациях, необходимой для всех участников образовательного процесса;</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создать систему получения репрезентативных данных, обратной связи от родителей (законных представителей) обучающихся, актуальных для прогнозирования развития системы образования, включая кадровое, инфраструктурное, содержательное, нормативное обеспечение и критерии оценки качества образования в соответствии с основными задачами государственной политики Российской Федерации, в том числе определенными Указом Президента Российской Федерации от 7 мая 2018 г. № 204.</w:t>
            </w: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31.12.2022</w:t>
            </w:r>
          </w:p>
          <w:p w:rsidR="00D0096B" w:rsidRDefault="00D0096B"/>
        </w:tc>
      </w:tr>
      <w:tr w:rsidR="00D0096B">
        <w:trPr>
          <w:trHeight w:hRule="exact" w:val="212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4902" w:type="dxa"/>
            <w:gridSpan w:val="3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6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r>
      <w:tr w:rsidR="00D0096B">
        <w:trPr>
          <w:trHeight w:hRule="exact" w:val="57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31.12.2022 - 100 ПРОЦ</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D0096B">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902" w:type="dxa"/>
            <w:gridSpan w:val="3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Для не менее 500 тыс. детей, обучающихся в 25% общеобразовательных организациях 75 субъектов Российской Федерации, внедрены в образовательную программу современные цифровые технологии</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w:t>
            </w: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Внедрение к концу 2024 года в основные образовательные программы современных цифровых технологий, для не менее чем 500 тыс. детей, обучающихся в 25% общеобразовательных организаций 75 субъектов Российской Федерации, позволит:</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 усовершенствовать образовательный процесс по отдельным предметным областям путем внедрения современных цифровых технологий;</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предоставить возможность обучающимся использовать технологии виртуальной и дополненной реальности, цифровых двойников и другие технологии в освоении отдельных предметных областей;</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создать условия для подготовки высококвалифицированных кадров, обладающих актуальными компетенциями в сфере современных технологий.</w:t>
            </w: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D0096B" w:rsidRDefault="00D0096B"/>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4902" w:type="dxa"/>
            <w:gridSpan w:val="3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4902" w:type="dxa"/>
            <w:gridSpan w:val="3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r>
      <w:tr w:rsidR="00D0096B">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D0096B">
        <w:trPr>
          <w:trHeight w:hRule="exact" w:val="13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7021" w:type="dxa"/>
            <w:gridSpan w:val="14"/>
            <w:tcBorders>
              <w:top w:val="single" w:sz="5" w:space="0" w:color="000000"/>
              <w:left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Для не менее 500 тыс. детей, обучающихся в 25% общеобразовательных организациях 75 субъектов Российской Федерации, внедрены в образовательную программу современные цифровые технологии</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до конца 2020 года эксперимента по внедрению в образовательную программу современных цифровых технологий с участием не менее 5 тыс. детей, обучающихся в 5% общеобразовательных организаций 10 субъектов Российской Федерации, позволит:</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усовершенствовать образовательный процесс по отдельным предметным областям путем внедрения современных цифровых технологий;</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предоставить возможность обучающимся использовать </w:t>
            </w:r>
            <w:r>
              <w:rPr>
                <w:rFonts w:ascii="Times New Roman" w:eastAsia="Times New Roman" w:hAnsi="Times New Roman" w:cs="Times New Roman"/>
                <w:spacing w:val="-2"/>
                <w:sz w:val="24"/>
                <w:szCs w:val="24"/>
              </w:rPr>
              <w:lastRenderedPageBreak/>
              <w:t>технологии виртуальной и дополненной реальности, цифровых двойников и другие технологии в освоении отдельных предметных областей;</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создать условия для подготовки высококвалифицированных кадров, обладающих актуальными компетенциями в сфере современных технологий</w:t>
            </w:r>
          </w:p>
          <w:p w:rsidR="00D0096B" w:rsidRDefault="00D0096B"/>
        </w:tc>
      </w:tr>
      <w:tr w:rsidR="00D0096B">
        <w:trPr>
          <w:trHeight w:hRule="exact" w:val="18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31.12.2020 - 0.8 ТЫС ЧЕЛ</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31.12.2021 - 7.5 ТЫС ЧЕЛ</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31.12.2022 - 10 ТЫС ЧЕЛ</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31.12.2023 - 15 ТЫС ЧЕЛ</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31.12.2024 - 25 ТЫС ЧЕЛ</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8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7021" w:type="dxa"/>
            <w:gridSpan w:val="14"/>
            <w:vMerge/>
            <w:tcBorders>
              <w:left w:val="single" w:sz="5" w:space="0" w:color="000000"/>
              <w:bottom w:val="single" w:sz="5" w:space="0" w:color="000000"/>
              <w:right w:val="single" w:sz="5" w:space="0" w:color="000000"/>
            </w:tcBorders>
            <w:shd w:val="clear" w:color="auto" w:fill="auto"/>
            <w:vAlign w:val="center"/>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w:t>
            </w:r>
          </w:p>
        </w:tc>
      </w:tr>
      <w:tr w:rsidR="00D0096B">
        <w:trPr>
          <w:trHeight w:hRule="exact" w:val="143"/>
        </w:trPr>
        <w:tc>
          <w:tcPr>
            <w:tcW w:w="860" w:type="dxa"/>
            <w:gridSpan w:val="3"/>
            <w:shd w:val="clear" w:color="auto" w:fill="auto"/>
          </w:tcPr>
          <w:p w:rsidR="00D0096B" w:rsidRDefault="00D67720">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33"/>
            <w:shd w:val="clear" w:color="auto" w:fill="auto"/>
            <w:vAlign w:val="center"/>
          </w:tcPr>
          <w:p w:rsidR="00D0096B" w:rsidRDefault="00D0096B"/>
        </w:tc>
      </w:tr>
      <w:tr w:rsidR="00D0096B">
        <w:trPr>
          <w:trHeight w:hRule="exact" w:val="430"/>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4. Финансовое обеспечение реализации регионального проекта</w:t>
            </w:r>
          </w:p>
          <w:p w:rsidR="00D0096B" w:rsidRDefault="00D0096B"/>
        </w:tc>
      </w:tr>
      <w:tr w:rsidR="00D0096B">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D0096B">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D0096B">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D0096B" w:rsidRDefault="00D0096B"/>
        </w:tc>
        <w:tc>
          <w:tcPr>
            <w:tcW w:w="14615" w:type="dxa"/>
            <w:gridSpan w:val="3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w:t>
            </w:r>
            <w:r>
              <w:rPr>
                <w:rFonts w:ascii="Times New Roman" w:eastAsia="Times New Roman" w:hAnsi="Times New Roman" w:cs="Times New Roman"/>
                <w:color w:val="FFFFFF"/>
                <w:spacing w:val="-2"/>
                <w:sz w:val="24"/>
                <w:szCs w:val="24"/>
              </w:rPr>
              <w:t>0</w:t>
            </w:r>
          </w:p>
          <w:p w:rsidR="00D0096B" w:rsidRDefault="00D0096B"/>
        </w:tc>
      </w:tr>
      <w:tr w:rsidR="00D0096B">
        <w:trPr>
          <w:trHeight w:hRule="exact" w:val="1763"/>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r>
      <w:tr w:rsidR="00D0096B">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r>
      <w:tr w:rsidR="00D0096B">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r>
      <w:tr w:rsidR="00D0096B">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1.1.3.2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трансферов из бюджета субъекта Российской Федерации)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r>
      <w:tr w:rsidR="00D0096B">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D0096B">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D0096B">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716"/>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по региональному проекту, в том числе:</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r>
      <w:tr w:rsidR="00D0096B">
        <w:trPr>
          <w:trHeight w:hRule="exact" w:val="1147"/>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трансферты бюджету) (Кабардино-Балкарская Республика)</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100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государственных внебюджетных </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фондов Российской Федерации и их</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территориальных фондов</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716"/>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 в т.ч.:</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r>
      <w:tr w:rsidR="00D0096B">
        <w:trPr>
          <w:trHeight w:hRule="exact" w:val="57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w:t>
            </w:r>
          </w:p>
        </w:tc>
      </w:tr>
      <w:tr w:rsidR="00D0096B">
        <w:trPr>
          <w:trHeight w:hRule="exact" w:val="100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100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бюджеты муниципальных образований (без учета межбюджетных трансфертов из бюджета субъектов Российской Федерации)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57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D0096B">
        <w:trPr>
          <w:trHeight w:hRule="exact" w:val="430"/>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r>
      <w:tr w:rsidR="00D0096B">
        <w:trPr>
          <w:trHeight w:hRule="exact" w:val="143"/>
        </w:trPr>
        <w:tc>
          <w:tcPr>
            <w:tcW w:w="860" w:type="dxa"/>
            <w:gridSpan w:val="3"/>
            <w:shd w:val="clear" w:color="auto" w:fill="auto"/>
          </w:tcPr>
          <w:p w:rsidR="00D0096B" w:rsidRDefault="00D67720">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33"/>
            <w:shd w:val="clear" w:color="auto" w:fill="auto"/>
            <w:vAlign w:val="center"/>
          </w:tcPr>
          <w:p w:rsidR="00D0096B" w:rsidRDefault="00D0096B"/>
        </w:tc>
      </w:tr>
      <w:tr w:rsidR="00D0096B">
        <w:trPr>
          <w:trHeight w:hRule="exact" w:val="430"/>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Участники регионального проекта</w:t>
            </w:r>
          </w:p>
          <w:p w:rsidR="00D0096B" w:rsidRDefault="00D0096B"/>
        </w:tc>
      </w:tr>
      <w:tr w:rsidR="00D0096B">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Роль в региональном проекте</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Фамилия, инициалы</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Должность</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Непосредственный руководитель</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Занятость в проекте</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(процентов)</w:t>
            </w:r>
          </w:p>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D0096B">
        <w:trPr>
          <w:trHeight w:hRule="exact" w:val="573"/>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Общие организационные мероприятия по региональному проекту</w:t>
            </w:r>
          </w:p>
          <w:p w:rsidR="00D0096B" w:rsidRDefault="00D0096B"/>
        </w:tc>
      </w:tr>
      <w:tr w:rsidR="00D0096B">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Агирова С. Х.</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D0096B">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Люев А. Х.</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ГБУ "ЦЕНТР МОНИТОРИНГА И СТАТИСТИКИ ОБРАЗОВАНИЯ"</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Ауес Мухамедович</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12.5</w:t>
            </w:r>
          </w:p>
        </w:tc>
      </w:tr>
      <w:tr w:rsidR="00D0096B">
        <w:trPr>
          <w:trHeight w:hRule="exact" w:val="717"/>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Внедрена федеральная информационно-сервисная платформа цифровой образовательной среды и набор типовых информационных решений во всех муниципальных образованиях Кабардино-Балкарской Республики</w:t>
            </w:r>
          </w:p>
          <w:p w:rsidR="00D0096B" w:rsidRDefault="00D0096B"/>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D0096B">
        <w:trPr>
          <w:trHeight w:hRule="exact" w:val="974"/>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90%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D0096B" w:rsidRDefault="00D0096B"/>
        </w:tc>
      </w:tr>
      <w:tr w:rsidR="00D0096B">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D0096B">
        <w:trPr>
          <w:trHeight w:hRule="exact" w:val="974"/>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100 %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а также гарантированным интернет-трафиком</w:t>
            </w:r>
          </w:p>
          <w:p w:rsidR="00D0096B" w:rsidRDefault="00D0096B"/>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r>
      <w:tr w:rsidR="00D0096B">
        <w:trPr>
          <w:trHeight w:hRule="exact" w:val="717"/>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Создана сеть центров цифрового образования детей, в том числе за счет федеральной поддержки 13 центров цифрового образования «IT-куб» с годовым охватом 5200 детей</w:t>
            </w:r>
          </w:p>
          <w:p w:rsidR="00D0096B" w:rsidRDefault="00D0096B"/>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D0096B">
        <w:trPr>
          <w:trHeight w:hRule="exact" w:val="716"/>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70% обучающимся, по программам общего образования, дополнительного образования для детей и среднего профессионального образования, предоставлен доступ на Едином портале государственных услуг (ЕПГУ) в личный кабинет «Образование»</w:t>
            </w:r>
          </w:p>
          <w:p w:rsidR="00D0096B" w:rsidRDefault="00D0096B"/>
        </w:tc>
      </w:tr>
      <w:tr w:rsidR="00D0096B">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D0096B">
        <w:trPr>
          <w:trHeight w:hRule="exact" w:val="974"/>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 всех образовательных организациях, расположенных на территории Кабардино-Балкарской Республики внедрены механизмы обеспечения оценки качества результатов промежуточной и итоговой аттестации обучающихся на онлайн-курсах, независимо от места их нахождения, в том числе на основе применения биометрических данных</w:t>
            </w:r>
          </w:p>
          <w:p w:rsidR="00D0096B" w:rsidRDefault="00D0096B"/>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D0096B">
        <w:trPr>
          <w:trHeight w:hRule="exact" w:val="430"/>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r>
      <w:tr w:rsidR="00D0096B">
        <w:trPr>
          <w:trHeight w:hRule="exact" w:val="559"/>
        </w:trPr>
        <w:tc>
          <w:tcPr>
            <w:tcW w:w="15618" w:type="dxa"/>
            <w:gridSpan w:val="36"/>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6. Дополнительная информация</w:t>
            </w:r>
          </w:p>
        </w:tc>
      </w:tr>
      <w:tr w:rsidR="00D0096B">
        <w:trPr>
          <w:trHeight w:hRule="exact" w:val="14"/>
        </w:trPr>
        <w:tc>
          <w:tcPr>
            <w:tcW w:w="15603" w:type="dxa"/>
            <w:gridSpan w:val="35"/>
            <w:tcBorders>
              <w:bottom w:val="single" w:sz="5" w:space="0" w:color="000000"/>
            </w:tcBorders>
          </w:tcPr>
          <w:p w:rsidR="00D0096B" w:rsidRDefault="00D0096B"/>
        </w:tc>
        <w:tc>
          <w:tcPr>
            <w:tcW w:w="15" w:type="dxa"/>
          </w:tcPr>
          <w:p w:rsidR="00D0096B" w:rsidRDefault="00D0096B"/>
        </w:tc>
      </w:tr>
      <w:tr w:rsidR="00D0096B">
        <w:trPr>
          <w:trHeight w:hRule="exact" w:val="1476"/>
        </w:trPr>
        <w:tc>
          <w:tcPr>
            <w:tcW w:w="15603" w:type="dxa"/>
            <w:gridSpan w:val="3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6.1. Модель функционирования результатов и достижения показателей регионального проекта </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Региональный проект «Цифровая образовательная среда» направлен на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rsidR="00D0096B" w:rsidRDefault="00D0096B">
            <w:pPr>
              <w:spacing w:line="230" w:lineRule="auto"/>
              <w:rPr>
                <w:rFonts w:ascii="Times New Roman" w:eastAsia="Times New Roman" w:hAnsi="Times New Roman" w:cs="Times New Roman"/>
                <w:color w:val="000000"/>
                <w:spacing w:val="-2"/>
                <w:sz w:val="24"/>
              </w:rPr>
            </w:pPr>
          </w:p>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Результаты реализации настоящего регионального проекта окажут существенное влияние на оптимизацию деятельности образовательных организаций, а также обеспечит создание условий для глобальной конкурентоспособности российского образования, обеспечения высокого качества обучения, направленных на улучшение качества жизни в каждом регионе.</w:t>
            </w:r>
          </w:p>
          <w:p w:rsidR="00D0096B" w:rsidRDefault="00D0096B">
            <w:pPr>
              <w:spacing w:line="230" w:lineRule="auto"/>
              <w:rPr>
                <w:rFonts w:ascii="Times New Roman" w:eastAsia="Times New Roman" w:hAnsi="Times New Roman" w:cs="Times New Roman"/>
                <w:color w:val="000000"/>
                <w:spacing w:val="-2"/>
                <w:sz w:val="24"/>
              </w:rPr>
            </w:pPr>
          </w:p>
          <w:p w:rsidR="00D0096B" w:rsidRDefault="00D0096B">
            <w:pPr>
              <w:spacing w:line="184" w:lineRule="auto"/>
              <w:rPr>
                <w:rFonts w:ascii="Times New Roman" w:eastAsia="Times New Roman" w:hAnsi="Times New Roman" w:cs="Times New Roman"/>
                <w:color w:val="000000"/>
                <w:spacing w:val="-2"/>
                <w:sz w:val="24"/>
              </w:rPr>
            </w:pPr>
          </w:p>
          <w:p w:rsidR="00D0096B" w:rsidRDefault="00D0096B"/>
        </w:tc>
        <w:tc>
          <w:tcPr>
            <w:tcW w:w="15" w:type="dxa"/>
            <w:tcBorders>
              <w:left w:val="single" w:sz="5" w:space="0" w:color="000000"/>
            </w:tcBorders>
          </w:tcPr>
          <w:p w:rsidR="00D0096B" w:rsidRDefault="00D0096B"/>
        </w:tc>
      </w:tr>
      <w:tr w:rsidR="00D0096B">
        <w:trPr>
          <w:trHeight w:hRule="exact" w:val="1476"/>
        </w:trPr>
        <w:tc>
          <w:tcPr>
            <w:tcW w:w="15603" w:type="dxa"/>
            <w:gridSpan w:val="35"/>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5" w:type="dxa"/>
            <w:tcBorders>
              <w:left w:val="single" w:sz="5" w:space="0" w:color="000000"/>
            </w:tcBorders>
          </w:tcPr>
          <w:p w:rsidR="00D0096B" w:rsidRDefault="00D0096B"/>
        </w:tc>
      </w:tr>
      <w:tr w:rsidR="00D0096B">
        <w:trPr>
          <w:trHeight w:hRule="exact" w:val="430"/>
        </w:trPr>
        <w:tc>
          <w:tcPr>
            <w:tcW w:w="15618" w:type="dxa"/>
            <w:gridSpan w:val="36"/>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w:t>
            </w:r>
          </w:p>
        </w:tc>
      </w:tr>
      <w:tr w:rsidR="00D0096B">
        <w:trPr>
          <w:trHeight w:hRule="exact" w:val="573"/>
        </w:trPr>
        <w:tc>
          <w:tcPr>
            <w:tcW w:w="11462" w:type="dxa"/>
            <w:gridSpan w:val="27"/>
          </w:tcPr>
          <w:p w:rsidR="00D0096B" w:rsidRDefault="00D0096B"/>
        </w:tc>
        <w:tc>
          <w:tcPr>
            <w:tcW w:w="4156" w:type="dxa"/>
            <w:gridSpan w:val="9"/>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№1</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регионального проекта</w:t>
            </w:r>
          </w:p>
        </w:tc>
      </w:tr>
      <w:tr w:rsidR="00D0096B">
        <w:trPr>
          <w:trHeight w:hRule="exact" w:val="573"/>
        </w:trPr>
        <w:tc>
          <w:tcPr>
            <w:tcW w:w="11462" w:type="dxa"/>
            <w:gridSpan w:val="27"/>
          </w:tcPr>
          <w:p w:rsidR="00D0096B" w:rsidRDefault="00D0096B"/>
        </w:tc>
        <w:tc>
          <w:tcPr>
            <w:tcW w:w="4156" w:type="dxa"/>
            <w:gridSpan w:val="9"/>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Цифровая образовательная среда (Кабардино-Балкарская Республика)</w:t>
            </w:r>
          </w:p>
        </w:tc>
      </w:tr>
      <w:tr w:rsidR="00D0096B">
        <w:trPr>
          <w:trHeight w:hRule="exact" w:val="143"/>
        </w:trPr>
        <w:tc>
          <w:tcPr>
            <w:tcW w:w="860" w:type="dxa"/>
            <w:gridSpan w:val="3"/>
            <w:shd w:val="clear" w:color="auto" w:fill="auto"/>
          </w:tcPr>
          <w:p w:rsidR="00D0096B" w:rsidRDefault="00D67720">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33"/>
            <w:shd w:val="clear" w:color="auto" w:fill="auto"/>
            <w:vAlign w:val="center"/>
          </w:tcPr>
          <w:p w:rsidR="00D0096B" w:rsidRDefault="00D0096B">
            <w:pPr>
              <w:spacing w:line="230" w:lineRule="auto"/>
              <w:jc w:val="center"/>
              <w:rPr>
                <w:rFonts w:ascii="Times New Roman" w:eastAsia="Times New Roman" w:hAnsi="Times New Roman" w:cs="Times New Roman"/>
                <w:color w:val="000000"/>
                <w:spacing w:val="-2"/>
                <w:sz w:val="28"/>
              </w:rPr>
            </w:pPr>
          </w:p>
        </w:tc>
      </w:tr>
      <w:tr w:rsidR="00D0096B">
        <w:trPr>
          <w:trHeight w:hRule="exact" w:val="717"/>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ПЛАН МЕРОПРИЯТИЙ</w:t>
            </w:r>
          </w:p>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по реализации регионального проекта</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Внедрена федеральная информационно-сервисная платформа цифровой образовательной среды и набор типовых информационных решений во всех муниципальных образованиях Кабардино-Балкарской Республики</w:t>
            </w:r>
            <w:r>
              <w:rPr>
                <w:rFonts w:ascii="Times New Roman" w:eastAsia="Times New Roman" w:hAnsi="Times New Roman" w:cs="Times New Roman"/>
                <w:color w:val="FFFFFF"/>
                <w:spacing w:val="-2"/>
                <w:sz w:val="24"/>
                <w:szCs w:val="24"/>
              </w:rPr>
              <w:t>0</w:t>
            </w:r>
          </w:p>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180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Внедрена федеральная информационно-сервисная платформа цифровой образовательной среды и набор типовых информационных решений  во всех муниципальных образованиях Кабардино-Балкарской Республики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Участие в апробации и тестировании модульной федеральной информационно-сервисной платформы цифровой образовательной среды и набора типовых информационных решений (I очередь)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Внедрение федеральной информационно-сервисной платформы цифровой образовательной среды и набора типовых информационных решений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1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Участие в апробации и тестировании модульной федеральной информационно-сервисной платформы цифровой образовательной среды и набора типовых информационных решений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(IV очередь)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1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Участие в апробации и тестировании модульной федеральной информационно-сервисной платформы цифровой образовательной среды и набора типовых информационных решений</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(III очередь)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1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Участие в апробации и тестировании модульной федеральной информационно-сервисной платформы цифровой образовательной среды и набора типовых информационных решений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(II очередь)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90%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r>
              <w:rPr>
                <w:rFonts w:ascii="Times New Roman" w:eastAsia="Times New Roman" w:hAnsi="Times New Roman" w:cs="Times New Roman"/>
                <w:color w:val="FFFFFF"/>
                <w:spacing w:val="-2"/>
                <w:sz w:val="24"/>
                <w:szCs w:val="24"/>
              </w:rPr>
              <w:t>0</w:t>
            </w:r>
          </w:p>
          <w:p w:rsidR="00D0096B" w:rsidRDefault="00D0096B"/>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концу 2024 года 90%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3%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организационно-технических мероприятий по внедрению в образовательные организации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15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обучающих мероприятий по применению функционирующих в образовательных организациях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34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20%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обучающих мероприятий по применению функционирующих в образовательных организациях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Приказ Приказ</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50%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обучающих мероприятий по применению функционирующих в образовательных организациях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организационно-технических мероприятий по внедрению в образовательные организации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70 %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организационно-технических мероприятий по внедрению в образовательные организации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обучающих мероприятий по применению функционирующих в образовательных организациях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Приказ Приказ</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80%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обучающих мероприятий по применению функционирующих в образовательных организациях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Приказ Приказ</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организационно-технических мероприятий по внедрению в образовательные организации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90%  документов ведомственной и статистической отчетности, утвержденной нормативными правовыми актами, формируются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организационно-технических мероприятий по внедрению в образовательные организации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обучающих мероприятий по применению функционирующих в образовательных организациях автоматизированных систем электронного документа оборота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Приказ Приказ</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71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100 %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а также гарантированным интернет-трафиком</w:t>
            </w:r>
            <w:r>
              <w:rPr>
                <w:rFonts w:ascii="Times New Roman" w:eastAsia="Times New Roman" w:hAnsi="Times New Roman" w:cs="Times New Roman"/>
                <w:color w:val="FFFFFF"/>
                <w:spacing w:val="-2"/>
                <w:sz w:val="24"/>
                <w:szCs w:val="24"/>
              </w:rPr>
              <w:t>0</w:t>
            </w:r>
          </w:p>
          <w:p w:rsidR="00D0096B" w:rsidRDefault="00D0096B"/>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Обеспечение к концу 2024 года Интернет-соединением и гарантированным интернет-трафиком 100 % образовательных организаций, расположенных на территории Кабардино-Балкарской Республики  , позволит:</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17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создать организационные и технические условия для внедрения и реализации целевой модели ЦОС, функционирования федеральной информационно-сервисной платформы цифровой образовательной среды;</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обеспечить гарантированный доступ обучающихся в общеобразовательных организациях к сети Интернет;</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оптимизировать финансовую нагрузку на общеобразовательные организации в части обеспечения доступа к ресурсам сети Интернет​</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pPr>
              <w:spacing w:line="230" w:lineRule="auto"/>
              <w:jc w:val="center"/>
              <w:rPr>
                <w:rFonts w:ascii="Times New Roman" w:eastAsia="Times New Roman" w:hAnsi="Times New Roman" w:cs="Times New Roman"/>
                <w:color w:val="000000"/>
                <w:spacing w:val="-2"/>
                <w:sz w:val="24"/>
              </w:rPr>
            </w:pPr>
          </w:p>
        </w:tc>
      </w:tr>
      <w:tr w:rsidR="00D0096B">
        <w:trPr>
          <w:trHeight w:hRule="exact" w:val="19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8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65 %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60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Обеспечено интернет-соединение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 65 % образовательных организаций, расположенных на территории Кабардино-Балкарской Республики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60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70 %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3.2.1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Обеспечено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 не менее 70 % образовательных организаций, расположенных на территории Кабардино-Балкарской Республики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60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Не менее 75 %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Обеспечено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 не менее 75 % образовательных организаций, расположенных на территории Кабардино-Балкарской Республики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85 %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 не менее 85 % образовательных организаций, расположенных на территории Кабардино-Балкарской Республики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Не менее 95 %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 не менее 95 % образовательных организаций, расположенных на территории Кабардино-Балкарской Республики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100 % образовательных организаций, расположенных на территории Кабардино-Балкарской Республики  обеспечены Интернет-соединением со скоростью соединения не менее 100 Мб/c – для образовательных организаций, </w:t>
            </w:r>
            <w:r>
              <w:rPr>
                <w:rFonts w:ascii="Times New Roman" w:eastAsia="Times New Roman" w:hAnsi="Times New Roman" w:cs="Times New Roman"/>
                <w:color w:val="000000"/>
                <w:spacing w:val="-2"/>
                <w:sz w:val="24"/>
              </w:rPr>
              <w:lastRenderedPageBreak/>
              <w:t>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3.6.1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 образовательные организации, расположенные на территории Кабардино-Балкарской Республики  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и гарантированным интернет-трафиком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44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w:t>
            </w:r>
            <w:r>
              <w:rPr>
                <w:rFonts w:ascii="Times New Roman" w:eastAsia="Times New Roman" w:hAnsi="Times New Roman" w:cs="Times New Roman"/>
                <w:color w:val="FFFFFF"/>
                <w:spacing w:val="-2"/>
                <w:sz w:val="24"/>
                <w:szCs w:val="24"/>
              </w:rPr>
              <w:t>0</w:t>
            </w:r>
          </w:p>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Положение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Положение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31.12.2018</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Распределение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31.10.2018</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31.12.2018</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Отбор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Объявление о проведении в 2018 году отбора субъектов Российской Федерации на предоставление в 2019 году субсидии из федерального бюджета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 на официальном сайте Министерства просвещения Российской Федерации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01.10.2018</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31.10.2018</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Публикация на официальном сайте Министерства просвещения Российской Федерации объявления о проведении в 2018 году отбора субъектов Российской Федерации на предоставление в 2019 году субсидии из федерального бюджета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2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20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Протокол Распределение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w:t>
            </w:r>
            <w:r>
              <w:rPr>
                <w:rFonts w:ascii="Times New Roman" w:eastAsia="Times New Roman" w:hAnsi="Times New Roman" w:cs="Times New Roman"/>
                <w:color w:val="000000"/>
                <w:spacing w:val="-2"/>
                <w:sz w:val="24"/>
              </w:rPr>
              <w:lastRenderedPageBreak/>
              <w:t>"Образование" в 2019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01.07.2019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20.08.2019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Отбор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w:t>
            </w:r>
            <w:r>
              <w:rPr>
                <w:rFonts w:ascii="Times New Roman" w:eastAsia="Times New Roman" w:hAnsi="Times New Roman" w:cs="Times New Roman"/>
                <w:spacing w:val="-2"/>
                <w:sz w:val="24"/>
                <w:szCs w:val="24"/>
              </w:rPr>
              <w:lastRenderedPageBreak/>
              <w:t>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Объявление о проведении в 2019 году отбора субъектов Российской Федерации на предоставление в 2020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 на официальном сайте Министерства просвещения Российской Федерации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Публикация на официальном сайте Министерства просвещения Российской Федерации объявления о проведении в 2019 году отбора субъектов Российской Федерации на предоставление в 2020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w:t>
            </w:r>
            <w:r>
              <w:rPr>
                <w:rFonts w:ascii="Times New Roman" w:eastAsia="Times New Roman" w:hAnsi="Times New Roman" w:cs="Times New Roman"/>
                <w:spacing w:val="-2"/>
                <w:sz w:val="24"/>
                <w:szCs w:val="24"/>
              </w:rPr>
              <w:lastRenderedPageBreak/>
              <w:t>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Протокол Распределение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20.08.2020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Протокол Отбор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4.5.2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Объявление о проведении в 2020 году отбора субъектов Российской Федерации на предоставление в 2021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 на официальном сайте Министерства просвещения Российской Федерации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Публикация на официальном сайте Министерства просвещения Российской Федерации объявления о проведении в 2020 году отбора субъектов Российской Федерации на предоставление в 2021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4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Протокол Распределение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Объявление о проведении в 2021 году отбора субъектов Российской Федерации на предоставление в 2022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w:t>
            </w:r>
            <w:r>
              <w:rPr>
                <w:rFonts w:ascii="Times New Roman" w:eastAsia="Times New Roman" w:hAnsi="Times New Roman" w:cs="Times New Roman"/>
                <w:color w:val="000000"/>
                <w:spacing w:val="-2"/>
                <w:sz w:val="24"/>
              </w:rPr>
              <w:lastRenderedPageBreak/>
              <w:t>«Цифровая образовательная среда» национального проекта «Образование» на официальном сайте Министерства просвещения Российской Федерации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01.06.2021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Публикация на официальном сайте Министерства просвещения Российской Федерации объявления о проведении в 2021 году отбора субъектов Российской Федерации на предоставление в 2022 </w:t>
            </w:r>
            <w:r>
              <w:rPr>
                <w:rFonts w:ascii="Times New Roman" w:eastAsia="Times New Roman" w:hAnsi="Times New Roman" w:cs="Times New Roman"/>
                <w:spacing w:val="-2"/>
                <w:sz w:val="24"/>
                <w:szCs w:val="24"/>
              </w:rPr>
              <w:lastRenderedPageBreak/>
              <w:t>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34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w:t>
            </w:r>
            <w:r>
              <w:rPr>
                <w:rFonts w:ascii="Times New Roman" w:eastAsia="Times New Roman" w:hAnsi="Times New Roman" w:cs="Times New Roman"/>
                <w:color w:val="000000"/>
                <w:spacing w:val="-2"/>
                <w:sz w:val="24"/>
              </w:rPr>
              <w:lastRenderedPageBreak/>
              <w:t>"Образование" в 2019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01.07.2021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20.08.2021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Отбор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w:t>
            </w:r>
            <w:r>
              <w:rPr>
                <w:rFonts w:ascii="Times New Roman" w:eastAsia="Times New Roman" w:hAnsi="Times New Roman" w:cs="Times New Roman"/>
                <w:spacing w:val="-2"/>
                <w:sz w:val="24"/>
                <w:szCs w:val="24"/>
              </w:rPr>
              <w:lastRenderedPageBreak/>
              <w:t>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56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Протокол Распределение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Объявление о проведении в 2022 году отбора субъектов Российской Федерации на предоставление в 2023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 на официальном сайте Министерства просвещения Российской Федерации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Публикация на официальном сайте Министерства просвещения Российской Федерации объявления о проведении в 2022 году отбора субъектов Российской Федерации на предоставление в 2023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4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20.08.2022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Протокол Отбор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4.8</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Протокол Распределение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2014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w:t>
            </w:r>
            <w:r>
              <w:rPr>
                <w:rFonts w:ascii="Times New Roman" w:eastAsia="Times New Roman" w:hAnsi="Times New Roman" w:cs="Times New Roman"/>
                <w:color w:val="000000"/>
                <w:spacing w:val="-2"/>
                <w:sz w:val="24"/>
              </w:rPr>
              <w:lastRenderedPageBreak/>
              <w:t>"Образование" в 2014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01.07.2023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20.08.2023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Отбор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w:t>
            </w:r>
            <w:r>
              <w:rPr>
                <w:rFonts w:ascii="Times New Roman" w:eastAsia="Times New Roman" w:hAnsi="Times New Roman" w:cs="Times New Roman"/>
                <w:spacing w:val="-2"/>
                <w:sz w:val="24"/>
                <w:szCs w:val="24"/>
              </w:rPr>
              <w:lastRenderedPageBreak/>
              <w:t>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2014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Объявление о проведении в 2023 году отбора субъектов Российской Федерации на предоставление в 2024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 на официальном сайте Министерства просвещения Российской Федерации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Публикация на официальном сайте Министерства просвещения Российской Федерации объявления о проведении в 2023 году отбора субъектов Российской Федерации на предоставление в 2024 году субсидии из федерального бюджета бюджетам субъектов Российской Федерации на поддержку мероприятий по внедрению целевой модели цифровой образовательной среды в общеобразовательных </w:t>
            </w:r>
            <w:r>
              <w:rPr>
                <w:rFonts w:ascii="Times New Roman" w:eastAsia="Times New Roman" w:hAnsi="Times New Roman" w:cs="Times New Roman"/>
                <w:spacing w:val="-2"/>
                <w:sz w:val="24"/>
                <w:szCs w:val="24"/>
              </w:rPr>
              <w:lastRenderedPageBreak/>
              <w:t>организациях и профессиональных образовательных организациях в рамках федерального проекта «Цифровая образовательная среда» национального проекта «Образование»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соглашений с субъектами Российской Федерации о предоставлении субсидии из федерального бюджета бюджетам субъектов Российской Федерации субсидии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4.10</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4.10.1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соглашений с субъектами Российской Федерации о предоставлении субсидии из федерального бюджета бюджетам субъектов Российской Федерации субсидии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4.11.1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соглашений с субъектами Российской Федерации о предоставлении субсидии из федерального бюджета бюджетам субъектов Российской Федерации субсидии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4.12.1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соглашений с субъектами Российской Федерации о предоставлении субсидии из федерального бюджета бюджетам субъектов Российской Федерации субсидии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2022 году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соглашений с субъектами Российской Федерации о предоставлении субсидии из федерального бюджета бюджетам субъектов Российской Федерации субсидии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2024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4.14.1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соглашений с субъектами Российской Федерации о предоставлении субсидии из федерального бюджета бюджетам субъектов Российской Федерации субсидии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2024 году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заключении соглашений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2024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8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том числе оценка уровня внедрения целевой модели и анализ эффективности ее реализации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внедрения целевой модели. Сбор и анализ информации от субъектов Российской Федерации о ходе исполнения соглашений о предоставлении субсидии из федерального бюджета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4.15.2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4.16</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w:t>
            </w:r>
            <w:r>
              <w:rPr>
                <w:rFonts w:ascii="Times New Roman" w:eastAsia="Times New Roman" w:hAnsi="Times New Roman" w:cs="Times New Roman"/>
                <w:spacing w:val="-2"/>
                <w:sz w:val="24"/>
                <w:szCs w:val="24"/>
              </w:rPr>
              <w:lastRenderedPageBreak/>
              <w:t>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4.16.1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2020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8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4.16.2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том числе оценка уровня внедрения целевой модели и анализ эффективности ее реализации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внедрения целевой модели. Сбор и анализ информации от субъектов Российской Федерации о ходе исполнения соглашений о предоставлении субсидии из федерального бюджета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4.17</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4.17.1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4.17.2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том числе оценка уровня внедрения целевой модели и анализ эффективности ее реализации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w:t>
            </w:r>
            <w:r>
              <w:rPr>
                <w:rFonts w:ascii="Times New Roman" w:eastAsia="Times New Roman" w:hAnsi="Times New Roman" w:cs="Times New Roman"/>
                <w:spacing w:val="-2"/>
                <w:sz w:val="24"/>
                <w:szCs w:val="24"/>
              </w:rPr>
              <w:lastRenderedPageBreak/>
              <w:t>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2021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4.18</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4.18.1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2019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8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4.18.2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том числе оценка уровня внедрения целевой модели и анализ эффективности ее реализации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внедрения целевой модели. Сбор и анализ информации от субъектов Российской Федерации о ходе исполнения соглашений о предоставлении субсидии из федерального бюджета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4.19</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8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4.19.1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том числе оценка уровня внедрения целевой модели и анализ эффективности ее реализации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внедрения целевой модели. Сбор и анализ информации от субъектов Российской Федерации о ходе исполнения соглашений о предоставлении субсидии из федерального бюджета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4.19.2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2023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4.20</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w:t>
            </w:r>
            <w:r>
              <w:rPr>
                <w:rFonts w:ascii="Times New Roman" w:eastAsia="Times New Roman" w:hAnsi="Times New Roman" w:cs="Times New Roman"/>
                <w:spacing w:val="-2"/>
                <w:sz w:val="24"/>
                <w:szCs w:val="24"/>
              </w:rPr>
              <w:lastRenderedPageBreak/>
              <w:t>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2024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8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4.20.1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мониторинга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том числе оценка уровня внедрения целевой модели и анализ эффективности ее реализации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внедрения целевой модели. Сбор и анализ информации от субъектов Российской Федерации о ходе исполнения соглашений о предоставлении субсидии из федерального бюджета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4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4.20.2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2024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Предоставлен отчет об использовании межбюджетных трансфертов на реализацию мероприятий по внедрению целевой модели цифровой образовательной среды в общеобразовательных </w:t>
            </w:r>
            <w:r>
              <w:rPr>
                <w:rFonts w:ascii="Times New Roman" w:eastAsia="Times New Roman" w:hAnsi="Times New Roman" w:cs="Times New Roman"/>
                <w:spacing w:val="-2"/>
                <w:sz w:val="24"/>
                <w:szCs w:val="24"/>
              </w:rPr>
              <w:lastRenderedPageBreak/>
              <w:t>организациях и профессиональных образовательных организациях федерального проекта "Цифровая образовательная среда" национального проекта "Образование" в 2024 году</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5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Утверждение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4.26</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Государственное задание подведомственной организации Минпросвещения России ФГАУ "Фонд новых форм развития образования"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4.27</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4.27.1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4.28</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4.28.1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Соглашение о порядке и условиях предоставления субсидии на выполнение государственного задания подведомственной </w:t>
            </w:r>
            <w:r>
              <w:rPr>
                <w:rFonts w:ascii="Times New Roman" w:eastAsia="Times New Roman" w:hAnsi="Times New Roman" w:cs="Times New Roman"/>
                <w:spacing w:val="-2"/>
                <w:sz w:val="24"/>
                <w:szCs w:val="24"/>
              </w:rPr>
              <w:lastRenderedPageBreak/>
              <w:t>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4.29</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4.29.1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4.31.1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Соглашение о порядке и условиях предоставления субсидии на выполнение государственного задания подведомственной </w:t>
            </w:r>
            <w:r>
              <w:rPr>
                <w:rFonts w:ascii="Times New Roman" w:eastAsia="Times New Roman" w:hAnsi="Times New Roman" w:cs="Times New Roman"/>
                <w:spacing w:val="-2"/>
                <w:sz w:val="24"/>
                <w:szCs w:val="24"/>
              </w:rPr>
              <w:lastRenderedPageBreak/>
              <w:t>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6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4.32.1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20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w:t>
            </w:r>
            <w:r>
              <w:rPr>
                <w:rFonts w:ascii="Times New Roman" w:eastAsia="Times New Roman" w:hAnsi="Times New Roman" w:cs="Times New Roman"/>
                <w:spacing w:val="-2"/>
                <w:sz w:val="24"/>
                <w:szCs w:val="24"/>
              </w:rPr>
              <w:lastRenderedPageBreak/>
              <w:t>организации Министерства просвещения Российской Федерации ФГАУ "Фонд новых форм развития образования" на создание и функционирование Центра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1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20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информационно-аналитического отчета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на создание и функционирование Центра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1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4.34.1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информационно-аналитического отчета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4.35.1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информационно-аналитического отчета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93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4.36</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4.36.1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информационно-аналитического отчета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4.37</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4.37.1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информационно-аналитического отчета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4.38</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4.38.1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информационно-аналитического отчета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выполнении соглашения о порядке и условиях предоставления субсидии на выполнение государственного задания подведомственной организации Министерства просвещения Российской Федерации ФГАУ "Фонд новых форм развития образования"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4.39</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4.39.1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Разработан и утвержден примерный перечень оборудования для внедрения целевой модели цифровой образовательной среды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16.04.2019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30.04.2019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4.39.2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4.40</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4.40.1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Закупка включена в план закупок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4.40.2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Разработан и утвержден примерный перечень оборудования для внедрения целевой модели цифровой образовательной среды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16.04.2020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30.04.2020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Разработан и утвержден примерный перечень оборудования для внедрения целевой модели цифровой образовательной среды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16.04.2021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30.04.2021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4.41.2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Закупка включена в план закупок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Разработан и утвержден примерный перечень оборудования для внедрения целевой модели цифровой образовательной среды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16.04.2022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30.04.2022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4.42.2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Закупка включена в план закупок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4.43.2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Разработан и утвержден примерный перечень оборудования для внедрения целевой модели цифровой образовательной среды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16.04.2023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30.04.2023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Разработан и утвержден примерный перечень оборудования для внедрения целевой модели цифровой образовательной среды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16.04.2024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30.04.2024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4.44.2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Закупка включена в план закупок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Проведена конкурсная процедура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4.45.2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 государственный контракте на закупку оборудования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4.46</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конкурсная процедура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4.46.2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 государственный контракте на закупку оборудования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4.47</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4.47.1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 государственный контракте на закупку оборудования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4.47.2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конкурсная процедура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4.48</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4.48.1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конкурсная процедура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4.48.2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 государственный контракте на закупку оборудования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4.49</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4.49.1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 государственный контракте на закупку оборудования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4.49.2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конкурсная процедура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4.50</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4.50.1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конкурсная процедура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4.50.2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 государственный контракте на закупку оборудования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4.51.1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Произведена приемка поставленных товаров, выполненных работ, оказанных услуг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Произведена приемка поставленных товаров, выполненных работ, оказанных услуг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4.56</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4.56.1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Произведена приемка поставленных товаров, выполненных работ, оказанных услуг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Шонтукова И. В., ЗАМЕСТИТЕЛЬ МИНИСТРА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4.57</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4.57.1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Произведена оплата по государственному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4.58</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4.58.1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Произведена оплата по государственному контракту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4.59</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4.59.1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Произведена оплата по государственному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4.60</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4.60.1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Произведена оплата по государственному контракту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Произведена оплата по государственному контракту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Произведена оплата по государственному контракту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73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w:t>
            </w:r>
            <w:r>
              <w:rPr>
                <w:rFonts w:ascii="Times New Roman" w:eastAsia="Times New Roman" w:hAnsi="Times New Roman" w:cs="Times New Roman"/>
                <w:color w:val="000000"/>
                <w:spacing w:val="-2"/>
                <w:sz w:val="24"/>
              </w:rPr>
              <w:lastRenderedPageBreak/>
              <w:t xml:space="preserve">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w:t>
            </w:r>
            <w:r>
              <w:rPr>
                <w:rFonts w:ascii="Times New Roman" w:eastAsia="Times New Roman" w:hAnsi="Times New Roman" w:cs="Times New Roman"/>
                <w:spacing w:val="-2"/>
                <w:sz w:val="24"/>
                <w:szCs w:val="24"/>
              </w:rPr>
              <w:lastRenderedPageBreak/>
              <w:t>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73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0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80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73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4.64.1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0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w:t>
            </w:r>
            <w:r>
              <w:rPr>
                <w:rFonts w:ascii="Times New Roman" w:eastAsia="Times New Roman" w:hAnsi="Times New Roman" w:cs="Times New Roman"/>
                <w:color w:val="000000"/>
                <w:spacing w:val="-2"/>
                <w:sz w:val="24"/>
              </w:rPr>
              <w:lastRenderedPageBreak/>
              <w:t>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w:t>
            </w:r>
            <w:r>
              <w:rPr>
                <w:rFonts w:ascii="Times New Roman" w:eastAsia="Times New Roman" w:hAnsi="Times New Roman" w:cs="Times New Roman"/>
                <w:spacing w:val="-2"/>
                <w:sz w:val="24"/>
                <w:szCs w:val="24"/>
              </w:rPr>
              <w:lastRenderedPageBreak/>
              <w:t>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80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106</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0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4.65.1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80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4.66</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4.66.1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109</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4.67</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4.67.1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4.68</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4.68.1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73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4.69</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72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0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4.69.1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w:t>
            </w:r>
            <w:r>
              <w:rPr>
                <w:rFonts w:ascii="Times New Roman" w:eastAsia="Times New Roman" w:hAnsi="Times New Roman" w:cs="Times New Roman"/>
                <w:color w:val="000000"/>
                <w:spacing w:val="-2"/>
                <w:sz w:val="24"/>
              </w:rPr>
              <w:lastRenderedPageBreak/>
              <w:t>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01.06.2022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w:t>
            </w:r>
            <w:r>
              <w:rPr>
                <w:rFonts w:ascii="Times New Roman" w:eastAsia="Times New Roman" w:hAnsi="Times New Roman" w:cs="Times New Roman"/>
                <w:spacing w:val="-2"/>
                <w:sz w:val="24"/>
                <w:szCs w:val="24"/>
              </w:rPr>
              <w:lastRenderedPageBreak/>
              <w:t>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80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73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4.70</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73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4.70.1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73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4.71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73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4.71.1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Выданы гранты обучающимся общеобразовательных организаций, проявивших особые способности и высокие достижения в области математики, информатики и цифровых технологий, грантов в форме субсидии на проведение тематических смен в области математики и информатики, технологий релевантных задач в области цифровой экономики, грантов для образовательных организаций, осуществляющих образовательную </w:t>
            </w:r>
            <w:r>
              <w:rPr>
                <w:rFonts w:ascii="Times New Roman" w:eastAsia="Times New Roman" w:hAnsi="Times New Roman" w:cs="Times New Roman"/>
                <w:color w:val="000000"/>
                <w:spacing w:val="-2"/>
                <w:sz w:val="24"/>
              </w:rPr>
              <w:lastRenderedPageBreak/>
              <w:t xml:space="preserve">деятельность по общеобразовательным программам и имеющим лучшие результаты в преподавании предметных областей "Математика", "Информатика" и "Технология" в целях распространение своего опыта, грантов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01.01.2024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итогах предоставления грантов в форме субсидий. Реализованы тематические смены в области математики и информатики, технологий релевантных задач в области цифровой </w:t>
            </w:r>
            <w:r>
              <w:rPr>
                <w:rFonts w:ascii="Times New Roman" w:eastAsia="Times New Roman" w:hAnsi="Times New Roman" w:cs="Times New Roman"/>
                <w:spacing w:val="-2"/>
                <w:sz w:val="24"/>
                <w:szCs w:val="24"/>
              </w:rPr>
              <w:lastRenderedPageBreak/>
              <w:t>экономики, распространен опыт лучших практик в преподавании предметных областей "Математика", "Информатика" и "Технология", обеспечена поддержка организаций дополнительного образования детей и (или) детских объединений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Подготовлены предложения о дальнейшей поддержке создания цифровых учебно-методических комплексов (ЦУМК) на основе итогов мониторинга спроса и эффективности использования создаваемых ЦУМКов в 2019 году в рамках реализации национальной программы "Цифровая экономика"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Доклад в Проектный комитет национального проекта "Образование" о предложениях по дальнейшей поддержке создания ЦУМК, решение Проектного комитета о реализации мероприятия федерального проекта.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8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Подготовлены предложения о дальнейшей поддержке создания цифровых учебно-методических комплексов (ЦУМК) на основе итогов мониторинга спроса и эффективности использования создаваемых ЦУМКов в 2019 году в рамках реализации национальной программы "Цифровая экономика"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Доклад в Проектный комитет национального проекта "Образование" о предложениях по дальнейшей поддержке создания ЦУМК, решение Проектного комитета о реализации мероприятия федерального проекта.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120</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4.74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4.74.1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4.75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4.75.1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итогах создания и результатах апробации ЦУМК. Созданы и апробированы цифровые образовательные ресурсы, подготовлены предложения о дальнейшем внедрении и использовании ЦУМК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93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4.76</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Разработка предложений по совершенствованию процедуры государственной итоговой аттестации и иных оценочных процедур в системе общего образования при внедрении целевой модели цифровой образовательной среды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Доклад в Проектный комитет национального проекта "Образование", решение Проектного комитета о предложениях по дальнейшей реализации мероприятий федерального проекта. Разработаны предложения по совершенствованию процедуры государственной итоговой аттестации</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4.76.1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предложений по совершенствованию процедуры государственной итоговой аттестации и иных оценочных процедур в системе общего образования при внедрении целевой модели цифровой образовательной среды</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Докладная записка Доклад в Проектный комитет национального проекта "Образование", решение Проектного комитета о предложениях по дальнейшей реализации мероприятий федерального проекта. Разработаны предложения по совершенствованию процедуры государственной итоговой аттестации</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93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Создана сеть центров цифрового образования детей, в том числе за счет федеральной поддержки 13 центров цифрового образования «IT-куб» с годовым охватом 5200 детей</w:t>
            </w:r>
            <w:r>
              <w:rPr>
                <w:rFonts w:ascii="Times New Roman" w:eastAsia="Times New Roman" w:hAnsi="Times New Roman" w:cs="Times New Roman"/>
                <w:color w:val="FFFFFF"/>
                <w:spacing w:val="-2"/>
                <w:sz w:val="24"/>
                <w:szCs w:val="24"/>
              </w:rPr>
              <w:t>0</w:t>
            </w:r>
          </w:p>
          <w:p w:rsidR="00D0096B" w:rsidRDefault="00D0096B"/>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Создание к концу 2024 года не менее 13 центров цифрового образования «IT-куб», позволит обеспечить на инфраструктурно-содержательном уровне продвижение компетенций в области цифровизации (современные информационные технологии, искусственный интеллект, большие данные, облачные пространства, программирование и администрирование цифровых операций) среди подрастающего поколения,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3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Создано 2 центра цифрового образования детей «IT-куб» с охватом не менее 800 детей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с Министерством просвещения Российской Федерации</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6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30.10.2019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заявка Кабардино-Балкарской Республики в Министерство просвещения Российской Федерации в установленном порядке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Создано 4 центра цифрового образования детей «IT-куб» с охватом 1500 детей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6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заявка Кабардино-Балкарской Республики в Министерство просвещения Российской Федерации в установленном порядке</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4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5.2.2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с Министерством просвещения Российской Федерации</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Создано  6 центров цифрового образования детей «IT-куб» с охватом не менее 2400 детей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26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заявка Кабардино-Балкарской Республики в Министерство просвещения Российской Федерации в установленном порядке</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с Министерством просвещения Российской Федерации</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Создано 8 центров цифрового образования детей «IT-куб» с охватом не менее 3200 детей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26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заявка Кабардино-Балкарской Республики в Министерство просвещения Российской Федерации в установленном порядке</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с Министерством просвещения Российской Федерации</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Создано 13 центров цифрового образования детей «IT-куб» с охватом 5200 детей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26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заявка Кабардино-Балкарской Республики в Министерство просвещения Российской Федерации в установленном порядке</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3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соглашения с Министерством просвещения Российской Федерации о предоставлении субсидии из федерального бюджета бюджетам субъектов</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 на финансовое обеспечение мероприятий по созданию ключевых центров развития детей (центров цифрового образования «IT-куб»)</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с Министерством просвещения Российской Федерации</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r>
              <w:rPr>
                <w:rFonts w:ascii="Times New Roman" w:eastAsia="Times New Roman" w:hAnsi="Times New Roman" w:cs="Times New Roman"/>
                <w:color w:val="FFFFFF"/>
                <w:spacing w:val="-2"/>
                <w:sz w:val="24"/>
                <w:szCs w:val="24"/>
              </w:rPr>
              <w:t>0</w:t>
            </w:r>
          </w:p>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Обеспечена подготовка для утверждения регионального паспорта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Обновлено в 40 % образовательных организаций, расположенных на территории Кабардино-Балкарской Республики информационное наполнение и функциональные возможности открытых и общедоступных информационных ресурсов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обучающих мероприятий для администраторов школьных сайтов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и тиражирование методических рекомендаций по информационному наполнению сайтов в соответствии с новыми требованиями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26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Обеспечена подготовка для утверждения регионального паспорта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Обновлено в 70 % образовательных организаций, расположенных на территории Кабардино-Балкарской Республики информационное наполнение и функциональные возможности открытых и общедоступных информационных ресурсов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обучающих мероприятий для администраторов школьных сайтов образовательных организаций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Во всех образовательных организациях,  расположенных на территории Кабардино-Балкарской Республики,  обновлено информационное наполнение и функциональные возможности открытых и общедоступных информационных ресурсов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 всех образовательных организациях,  расположенных на территории Кабардино-Балкарской Республики,  обновлено информационное наполнение и функциональные возможности открытых и общедоступных информационных ресурсов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26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Обеспечена подготовка для утверждения регионального паспорта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Обеспечена подготовка для утверждения регионального паспорта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7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6.8</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Обеспечено заключение соглашений с ФОИВ о реализации на территории КБР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7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Обеспечено заключение соглашений с ФОИВ о реализации на территории КБР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7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6.10</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Обеспечено заключение соглашений с ФОИВ о реализации на территории КБР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137</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7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Обеспечено заключение соглашений с ФОИВ о реализации на территории КБР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Соглашение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138</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исполнении соглашения в том числе динамики достижения настоящего результата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Осуществление мониторинга исполнения соглашения в том числе динамики достижения настоящего результата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исполнении соглашения в том числе динамики достижения настоящего результата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139</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w:t>
            </w:r>
            <w:r>
              <w:rPr>
                <w:rFonts w:ascii="Times New Roman" w:eastAsia="Times New Roman" w:hAnsi="Times New Roman" w:cs="Times New Roman"/>
                <w:color w:val="000000"/>
                <w:spacing w:val="-2"/>
                <w:sz w:val="24"/>
              </w:rPr>
              <w:lastRenderedPageBreak/>
              <w:t>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исполнении соглашения в том числе динамики достижения настоящего </w:t>
            </w:r>
            <w:r>
              <w:rPr>
                <w:rFonts w:ascii="Times New Roman" w:eastAsia="Times New Roman" w:hAnsi="Times New Roman" w:cs="Times New Roman"/>
                <w:spacing w:val="-2"/>
                <w:sz w:val="24"/>
                <w:szCs w:val="24"/>
              </w:rPr>
              <w:lastRenderedPageBreak/>
              <w:t>результата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Осуществление мониторинга исполнения соглашения в том числе динамики достижения настоящего результата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исполнении соглашения в том числе динамики достижения настоящего результата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исполнении соглашения в том числе динамики достижения настоящего результата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Осуществление мониторинга исполнения соглашения в том числе динамики достижения настоящего результата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исполнении соглашения в том числе динамики достижения настоящего результата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исполнении соглашения в том числе динамики достижения настоящего результата</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Осуществление мониторинга исполнения соглашения в том числе динамики достижения настоящего результата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исполнении соглашения в том числе динамики достижения настоящего результата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6.16</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обновлении информационного наполнения и функциональных </w:t>
            </w:r>
            <w:r>
              <w:rPr>
                <w:rFonts w:ascii="Times New Roman" w:eastAsia="Times New Roman" w:hAnsi="Times New Roman" w:cs="Times New Roman"/>
                <w:spacing w:val="-2"/>
                <w:sz w:val="24"/>
                <w:szCs w:val="24"/>
              </w:rPr>
              <w:lastRenderedPageBreak/>
              <w:t>возможностей открытых и общедоступных информационных ресурсов с учетом требований методических рекомендаций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6.16.1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6.17.1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6.18</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6.18.1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об обновлении информационного наполнения и функциональных </w:t>
            </w:r>
            <w:r>
              <w:rPr>
                <w:rFonts w:ascii="Times New Roman" w:eastAsia="Times New Roman" w:hAnsi="Times New Roman" w:cs="Times New Roman"/>
                <w:spacing w:val="-2"/>
                <w:sz w:val="24"/>
                <w:szCs w:val="24"/>
              </w:rPr>
              <w:lastRenderedPageBreak/>
              <w:t>возможностей открытых и общедоступных информационных ресурсов с учетом требований методических рекомендаций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6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6.19</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D0096B">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6.19.1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6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146</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6.20</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Разработка методических рекомендаций по обновлению информационного наполнения и функциональных возможностей открытых и общедоступных информационных ресурсов образовательных организаций, в том числе официальных сайтов в сети Интернет.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 необходимости внесены изменения в нормативные правовые акты, в том числе в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Методические рекомендации Методические рекомендации, информационное письмо Министерства просвещения Российской Федерации в субъекты Российской Федерации о направлении методических рекомендаций. Сформирована методологическая основа реализации мероприятий федерального проекта по обновлению информационных ресурсов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6.20.1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Разработка методических рекомендаций по обновлению информационного наполнения и функциональных возможностей открытых и общедоступных информационных ресурсов образовательных организаций, в том числе официальных сайтов в сети Интернет.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 необходимости внесены изменения в нормативные правовые акты, в том числе в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Методические рекомендации Методические рекомендации, информационное письмо Министерства просвещения Российской Федерации в субъекты Российской Федерации о направлении методических рекомендаций. Сформирована методологическая основа реализации мероприятий федерального проекта по обновлению информационных ресурсов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80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20 % образовательных организаций, расположенных на территории Кабардино-Балкарской Республики обновили информационное наполнение и функциональные возможности открытых и общедоступных информационных ресурсов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обучающих мероприятий для ответственных лиц по администрированию школьных сайтов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29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6.21.2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и тиражирование методических рекомендаций по обновлению информационного наполнения школьных сайтов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методические рекомендации по обновлению информационного наполнения школьных сайтов</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Контрольная точка не задана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r>
      <w:tr w:rsidR="00D0096B">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6.23.2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149</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70% обучающимся, по программам общего образования, дополнительного образования для детей и среднего профессионального образования, предоставлен доступ на Едином портале государственных услуг (ЕПГУ) в личный кабинет «Образование»</w:t>
            </w:r>
            <w:r>
              <w:rPr>
                <w:rFonts w:ascii="Times New Roman" w:eastAsia="Times New Roman" w:hAnsi="Times New Roman" w:cs="Times New Roman"/>
                <w:color w:val="FFFFFF"/>
                <w:spacing w:val="-2"/>
                <w:sz w:val="24"/>
                <w:szCs w:val="24"/>
              </w:rPr>
              <w:t>0</w:t>
            </w:r>
          </w:p>
          <w:p w:rsidR="00D0096B" w:rsidRDefault="00D0096B"/>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концу 2024 года 70% обучающимся по программам общего образования, дополнительного образования для детей и среднего профессионального образования на ЕГПУ доступен личный кабинет «Образование»,  который  обеспечивает:  фиксацию  образовательных результатов; просмотр индивидуального плана обучения;  доступ к цифровому образовательному профилю,  включающего в себя сервисы по получению образовательных услуг и государственных услуг в сфере образования в электронной форме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19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4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15 % обучающимся  по программам общего образования, дополнительного образования для детей и среднего профессионального образования предоставлен доступ в личный кабинет «Образование» на ЕГПУ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Участие в апробации и тестировании личных кабинетов «Образование» 15% обучающихся по программам общего образования, дополнительного образования для детей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30 % обучающимся  по программам общего образования, дополнительного образования для детей и среднего профессионального образования предоставлен доступ в личный кабинет «Образование» на ЕГПУ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Участие в апробации и тестировании личных кабинетов «Образование» 15% обучающихся по программам общего образования, дополнительного образования для детей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50% обучающимся  по программам общего образования, дополнительного образования для детей и среднего профессионального образования предоставлен доступ в личный кабинет «Образование» на ЕГПУ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Участие в апробации и тестировании личных кабинетов «Образование» 50% обучающихся по программам общего образования, дополнительного образования для детей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60 % обучающимся  по программам общего образования, дополнительного образования для детей и среднего профессионального образования предоставлен доступ в личный кабинет «Образование» на ЕГПУ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Участие в апробации и тестировании личных кабинетов «Образование» 60% обучающихся по программам общего образования, дополнительного образования для детей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70 % обучающимся  по программам общего образования, дополнительного образования для детей и среднего профессионального образования предоставлен доступ в личный кабинет «Образование» на ЕГПУ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Участие в апробации и тестировании личных кабинетов «Образование» 70 % обучающихся по программам общего образования, дополнительного образования для детей и среднего профессионального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29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Во всех образовательных организациях, расположенных на территории Кабардино-Балкарской Республики внедрены механизмы обеспечения оценки качества результатов промежуточной и итоговой аттестации обучающихся на онлайн-курсах, независимо от места их нахождения, в том числе на основе применения биометрических данных</w:t>
            </w:r>
            <w:r>
              <w:rPr>
                <w:rFonts w:ascii="Times New Roman" w:eastAsia="Times New Roman" w:hAnsi="Times New Roman" w:cs="Times New Roman"/>
                <w:color w:val="FFFFFF"/>
                <w:spacing w:val="-2"/>
                <w:sz w:val="24"/>
                <w:szCs w:val="24"/>
              </w:rPr>
              <w:t>0</w:t>
            </w:r>
          </w:p>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234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Во всех образовательных организациях, расположенных на территории Кабардино-Балкарской Республики внедрены механизмы обеспечения оценки качества результатов промежуточной и итоговой аттестации обучающихся на онлайн-курсах, независимо от места их нахождения, в том числе на основе применения биометрических данных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 всех образовательных организациях, расположенных на территории Кабардино-Балкарской Республики внедрены механизмы обеспечения оценки качества результатов промежуточной и итоговой аттестации обучающихся на онлайн-курсах, независимо от места их нахождения, в том числе на основе применения биометрических данных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Информационная справка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7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Для не менее 500 тыс. детей, обучающихся в 25% общеобразовательных организациях 75 субъектов Российской Федерации, внедрены в образовательную программу современные цифровые технологии</w:t>
            </w:r>
            <w:r>
              <w:rPr>
                <w:rFonts w:ascii="Times New Roman" w:eastAsia="Times New Roman" w:hAnsi="Times New Roman" w:cs="Times New Roman"/>
                <w:color w:val="FFFFFF"/>
                <w:spacing w:val="-2"/>
                <w:sz w:val="24"/>
                <w:szCs w:val="24"/>
              </w:rPr>
              <w:t>0</w:t>
            </w:r>
          </w:p>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Проведение до конца 2020 года эксперимента по внедрению в образовательную программу современных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цифровых технологий с участием не менее 5 тыс. детей, обучающихся в 5% общеобразовательных организаций 10 субъектов Российской Федерации, позволит:</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усовершенствовать образовательный процесс по отдельным предметным областям путем внедрения современных цифровых технологий;</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предоставить возможность обучающимся использовать технологии виртуальной и дополненной реальности, цифровых двойников и другие технологии в освоении отдельных предметных областей;</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создать условия для подготовки высококвалифицированных кадров, обладающих актуальными компетенциями в сфере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pPr>
              <w:spacing w:line="230" w:lineRule="auto"/>
              <w:jc w:val="center"/>
              <w:rPr>
                <w:rFonts w:ascii="Times New Roman" w:eastAsia="Times New Roman" w:hAnsi="Times New Roman" w:cs="Times New Roman"/>
                <w:color w:val="000000"/>
                <w:spacing w:val="-2"/>
                <w:sz w:val="24"/>
              </w:rPr>
            </w:pPr>
          </w:p>
        </w:tc>
      </w:tr>
      <w:tr w:rsidR="00D0096B">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85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42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современных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pPr>
              <w:spacing w:line="230" w:lineRule="auto"/>
              <w:jc w:val="center"/>
              <w:rPr>
                <w:rFonts w:ascii="Times New Roman" w:eastAsia="Times New Roman" w:hAnsi="Times New Roman" w:cs="Times New Roman"/>
                <w:color w:val="000000"/>
                <w:spacing w:val="-2"/>
                <w:sz w:val="24"/>
              </w:rPr>
            </w:pP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69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Разработка на основе технического задания к разработке форм, средств, методов обучения с использованием цифровых технологий: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экспериментальных форм, методов и средств обучения на основе современных цифровых технологий</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методических и дидактических материалов (моделей) по использованию в образовательном процессе экспериментальных форм, методов и средств обучения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Методические рекомендации Методические и дидактические материалы по внедрению и использованию цифровых </w:t>
            </w:r>
            <w:r>
              <w:rPr>
                <w:rFonts w:ascii="Times New Roman" w:eastAsia="Times New Roman" w:hAnsi="Times New Roman" w:cs="Times New Roman"/>
                <w:spacing w:val="-2"/>
                <w:sz w:val="24"/>
                <w:szCs w:val="24"/>
              </w:rPr>
              <w:lastRenderedPageBreak/>
              <w:t xml:space="preserve">технологий. Разработаны экспериментальные формы, методы и средства обучения, а также методические и дидактические материалы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6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157</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both"/>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 их использованию для дальнейшего внедрения в образовательном процессе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перечня субъектов Российской Федерации, реализующих эксперимент по внедрению в образовательную программу современных цифровых технологий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9.2.1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перечня субъектов Российской Федерации, реализующих эксперимент по внедрению в образовательную программу современных цифровых технологий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Разработка на основе технического задания к разработке форм, средств, методов обучения с использованием цифровых технологий: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экспериментальных форм, методов и средств обучения на основе современных цифровых технологий</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методических и дидактических материалов </w:t>
            </w:r>
            <w:r>
              <w:rPr>
                <w:rFonts w:ascii="Times New Roman" w:eastAsia="Times New Roman" w:hAnsi="Times New Roman" w:cs="Times New Roman"/>
                <w:color w:val="000000"/>
                <w:spacing w:val="-2"/>
                <w:sz w:val="24"/>
              </w:rPr>
              <w:lastRenderedPageBreak/>
              <w:t>(моделей) по использованию в образовательном процессе экспериментальных форм, методов и средств обучения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01.01.2021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Методические рекомендации Методические и дидактические материалы по внедрению и использованию цифровых технологий. Разработаны </w:t>
            </w:r>
            <w:r>
              <w:rPr>
                <w:rFonts w:ascii="Times New Roman" w:eastAsia="Times New Roman" w:hAnsi="Times New Roman" w:cs="Times New Roman"/>
                <w:spacing w:val="-2"/>
                <w:sz w:val="24"/>
                <w:szCs w:val="24"/>
              </w:rPr>
              <w:lastRenderedPageBreak/>
              <w:t>экспериментальные формы, методы и средства обучения, а также методические и дидактические материалы по их использованию для дальнейшего внедрения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0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7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Разработка на основе технического задания к разработке форм, средств, методов обучения с использованием цифровых технологий: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экспериментальных форм, методов и средств обучения на основе современных цифровых технологий</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методических и дидактических материалов (моделей) по использованию в образовательном процессе экспериментальных форм, методов и средств обучения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Методические рекомендации Методические и дидактические материалы по внедрению и использованию цифровых технологий. Разработаны экспериментальные формы, методы и средства обучения, а также методические и дидактические материалы по их использованию для дальнейшего внедрения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перечня субъектов Российской Федерации, реализующих эксперимент по внедрению в образовательную программу современных цифровых технологий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w:t>
            </w:r>
            <w:r>
              <w:rPr>
                <w:rFonts w:ascii="Times New Roman" w:eastAsia="Times New Roman" w:hAnsi="Times New Roman" w:cs="Times New Roman"/>
                <w:spacing w:val="-2"/>
                <w:sz w:val="24"/>
                <w:szCs w:val="24"/>
              </w:rPr>
              <w:lastRenderedPageBreak/>
              <w:t>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7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Разработка на основе технического задания к разработке форм, средств, методов обучения с использованием цифровых технологий: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экспериментальных форм, методов и средств обучения на основе современных цифровых технологий</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методических и дидактических материалов (моделей) по использованию в образовательном процессе экспериментальных форм, методов и средств обучения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Методические рекомендации Методические и дидактические материалы по внедрению и использованию цифровых технологий. Разработаны экспериментальные формы, методы и средства обучения, а также методические и дидактические материалы по их использованию для дальнейшего внедрения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перечня субъектов Российской Федерации, реализующих эксперимент по внедрению в образовательную программу современных цифровых технологий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w:t>
            </w:r>
            <w:r>
              <w:rPr>
                <w:rFonts w:ascii="Times New Roman" w:eastAsia="Times New Roman" w:hAnsi="Times New Roman" w:cs="Times New Roman"/>
                <w:spacing w:val="-2"/>
                <w:sz w:val="24"/>
                <w:szCs w:val="24"/>
              </w:rPr>
              <w:lastRenderedPageBreak/>
              <w:t>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7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Разработка на основе технического задания к разработке форм, средств, методов обучения с использованием цифровых технологий: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экспериментальных форм, методов и средств обучения на основе современных цифровых технологий</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методических и дидактических материалов (моделей) по использованию в образовательном процессе экспериментальных форм, методов и средств обучения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Методические рекомендации Методические и дидактические материалы по внедрению и использованию цифровых технологий. Разработаны экспериментальные формы, методы и средства обучения, а также методические и дидактические материалы по их использованию для дальнейшего внедрения в образовательном процессе</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перечня субъектов Российской Федерации, реализующих эксперимент по внедрению в образовательную программу современных цифровых технологий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Распоряжение Распоряжение Министерства просвещения Российской Федерации об утверждении перечня. Заключены соглашения между Министерством просвещения Российской </w:t>
            </w:r>
            <w:r>
              <w:rPr>
                <w:rFonts w:ascii="Times New Roman" w:eastAsia="Times New Roman" w:hAnsi="Times New Roman" w:cs="Times New Roman"/>
                <w:spacing w:val="-2"/>
                <w:sz w:val="24"/>
                <w:szCs w:val="24"/>
              </w:rPr>
              <w:lastRenderedPageBreak/>
              <w:t>Федерации с высшими исполнительными органами государственной власти субъектов Российской Федерации о проведении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образовательных организаций (5%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органами исполнительной власти субъектов Российской Федерации, реализующих эксперимент по внедрению в образовательную программу современных цифровых технологий, перечня пилотных образовательных организаций (не менее 5 % от общего числа образовательных организаций)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образовательных организаций (5%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9.7</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w:t>
            </w:r>
            <w:r>
              <w:rPr>
                <w:rFonts w:ascii="Times New Roman" w:eastAsia="Times New Roman" w:hAnsi="Times New Roman" w:cs="Times New Roman"/>
                <w:spacing w:val="-2"/>
                <w:sz w:val="24"/>
                <w:szCs w:val="24"/>
              </w:rPr>
              <w:lastRenderedPageBreak/>
              <w:t xml:space="preserve">образовательных организаций (10%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9.7.1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органами исполнительной власти субъектов Российской Федерации, реализующих мероприятия по внедрению в образовательную программу современных цифровых технологий, перечня пилотных образовательных организаций (не менее 10 % от общего числа образовательных организаций)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образовательных организаций (10%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9.8</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образовательных организаций (15%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9.8.1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органами исполнительной власти субъектов Российской Федерации, реализующих мероприятия по внедрению в образовательную программу современных цифровых технологий, перечня пилотных образовательных организаций (не менее 15% от общего числа образовательных организаций)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w:t>
            </w:r>
            <w:r>
              <w:rPr>
                <w:rFonts w:ascii="Times New Roman" w:eastAsia="Times New Roman" w:hAnsi="Times New Roman" w:cs="Times New Roman"/>
                <w:spacing w:val="-2"/>
                <w:sz w:val="24"/>
                <w:szCs w:val="24"/>
              </w:rPr>
              <w:lastRenderedPageBreak/>
              <w:t xml:space="preserve">образовательных организаций (15%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 </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176</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образовательных организаций (20%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Утверждение органами исполнительной власти субъектов Российской Федерации, реализующих мероприятия по внедрению в образовательную программу современных цифровых технологий, перечня пилотных образовательных организаций (не менее 20 % от общего числа образовательных организаций)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образовательных организаций (20%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9.10</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w:t>
            </w:r>
            <w:r>
              <w:rPr>
                <w:rFonts w:ascii="Times New Roman" w:eastAsia="Times New Roman" w:hAnsi="Times New Roman" w:cs="Times New Roman"/>
                <w:spacing w:val="-2"/>
                <w:sz w:val="24"/>
                <w:szCs w:val="24"/>
              </w:rPr>
              <w:lastRenderedPageBreak/>
              <w:t>образовательных организаций (25%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5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9.10.1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Утверждение органами исполнительной власти субъектов Российской Федерации, реализующих мероприятия по внедрению в образовательную программу современных цифровых технологий, перечня пилотных образовательных организаций (не менее </w:t>
            </w:r>
          </w:p>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 от общего числа образовательных организаций)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Акт Акты органов исполнительной власти субъектов Российской Федерации об определении перечня образовательных организаций. Сформирован перечень пилотных образовательных организаций (25% от общего числа образовательных организаций) в целях проведения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5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Наименование результата, мероприятия, </w:t>
            </w:r>
            <w:r>
              <w:rPr>
                <w:rFonts w:ascii="Times New Roman" w:eastAsia="Times New Roman" w:hAnsi="Times New Roman" w:cs="Times New Roman"/>
                <w:color w:val="000000"/>
                <w:spacing w:val="-2"/>
                <w:sz w:val="24"/>
              </w:rPr>
              <w:lastRenderedPageBreak/>
              <w:t>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Ответственный </w:t>
            </w:r>
            <w:r>
              <w:rPr>
                <w:rFonts w:ascii="Times New Roman" w:eastAsia="Times New Roman" w:hAnsi="Times New Roman" w:cs="Times New Roman"/>
                <w:color w:val="000000"/>
                <w:spacing w:val="-2"/>
                <w:sz w:val="24"/>
              </w:rPr>
              <w:lastRenderedPageBreak/>
              <w:t>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Вид документа и </w:t>
            </w:r>
            <w:r>
              <w:rPr>
                <w:rFonts w:ascii="Times New Roman" w:eastAsia="Times New Roman" w:hAnsi="Times New Roman" w:cs="Times New Roman"/>
                <w:color w:val="000000"/>
                <w:spacing w:val="-2"/>
                <w:sz w:val="24"/>
              </w:rPr>
              <w:lastRenderedPageBreak/>
              <w:t>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9.11</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отчета о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9.12</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w:t>
            </w:r>
            <w:r>
              <w:rPr>
                <w:rFonts w:ascii="Times New Roman" w:eastAsia="Times New Roman" w:hAnsi="Times New Roman" w:cs="Times New Roman"/>
                <w:color w:val="000000"/>
                <w:spacing w:val="-2"/>
                <w:sz w:val="24"/>
              </w:rPr>
              <w:lastRenderedPageBreak/>
              <w:t>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о реализации эксперимента по внедрению в образовательную </w:t>
            </w:r>
            <w:r>
              <w:rPr>
                <w:rFonts w:ascii="Times New Roman" w:eastAsia="Times New Roman" w:hAnsi="Times New Roman" w:cs="Times New Roman"/>
                <w:spacing w:val="-2"/>
                <w:sz w:val="24"/>
                <w:szCs w:val="24"/>
              </w:rPr>
              <w:lastRenderedPageBreak/>
              <w:t>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КРП</w:t>
            </w:r>
          </w:p>
        </w:tc>
      </w:tr>
      <w:tr w:rsidR="00D0096B">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9.12.1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отчета о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9.13</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9.13.1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отчета о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9.14</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отчета о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29"/>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отчета о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w:t>
            </w:r>
          </w:p>
        </w:tc>
      </w:tr>
      <w:tr w:rsidR="00D0096B">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9.16</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9.16.1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 мониторинг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9.17</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9.17.1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 мониторинг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9.18</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9.18.1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 мониторинг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9.19</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9.19.1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 мониторинг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187</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20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9.20</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9.20.1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 мониторинг реализации эксперимента по внедрению в образовательную программу современных цифровых технологий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 о реализации эксперимента по внедрению в образовательную программу современных цифровых технологий</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79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Проведен эксперимент по внедрению современных цифровых технологий при реализации основных общеобразовательных программ с охватом не менее 4000 детей, обучающихся в 15 % общеобразовательных организаций, расположенных на территории Кабардино-Балкарской Республики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29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Повышение квалификации школьных команд по использованию цифровых технологий в образовательную деятельность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сертификаты о повышении квалификации, отчет организации осуществляющей проведение повышения квалификации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9.21.2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и тиражирование методических рекомендаций по внедрению цифровых технологий в образовательный процесс</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9.22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Проведен эксперимент по внедрению в образовательную программу современных цифровых технологий, с охватом 500 детей, обучающихся в 5 % общеобразовательных организаций, расположенных на территории Кабардино-Балкарской Республики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информационно-аналитический отчет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ВДЛ</w:t>
            </w:r>
          </w:p>
        </w:tc>
      </w:tr>
      <w:tr w:rsidR="00D0096B">
        <w:trPr>
          <w:trHeight w:hRule="exact" w:val="203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Повышение квалификации школьных команд экспериментальных площадок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сертификаты о повышении квалификации, отчет организации осуществляющей проведение повышения квалификации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9.22.2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сети экспериментальных площадок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189</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179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Проведен эксперимент по внедрению в образовательную программу современных цифровых технологий при реализации основных общеобразовательных 2600  детей, обучающихся в 10 % общеобразовательных организаций, расположенных на территории Кабардино-Балкарской Республики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29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Повышение квалификации школьных команд по использованию цифровых технологий в образовательную деятельность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сертификаты о повышении квалификации, отчет организации осуществляющей проведение повышения квалификации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8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9.23.2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и тиражирование методических рекомендаций по внедрению цифровых технологий в образовательный процесс</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79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Проведен эксперимент по внедрению современных цифровых технологий при реализации основных общеобразовательных программ, с охватом 5300 детей, обучающихся в 20 % общеобразовательных организаций, расположенных на территории Кабардино-Балкарской Республики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Повышение квалификации школьных команд по использованию цифровых технологий в образовательную деятельность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190</w:t>
            </w:r>
          </w:p>
        </w:tc>
      </w:tr>
      <w:tr w:rsidR="00D0096B">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D0096B">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0096B"/>
        </w:tc>
      </w:tr>
      <w:tr w:rsidR="00D0096B">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D0096B">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9.24.2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и тиражирование методических рекомендаций по внедрению цифровых технологий в образовательный процесс</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79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Проведен эксперимент по внедрению  современных цифровых технологий при реализации основных общеобразовательных программ, с охватом 7000 детей, обучающихся в 25 % общеобразовательных организаций, расположенных на территории Кабардино-Балкарской Республики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информационно-аналитический отчет</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229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9.25.1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Повышение квалификации школьных команд по использованию цифровых технологий в образовательную деятельность</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сертификаты о повышении квалификации, отчет организации осуществляющей проведение повышения квалификации </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9.25.2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и тиражирование методических рекомендаций по внедрению цифровых технологий в образовательный процесс</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Кумыков А. М.,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Метод рекомендации, информационно-аналитическая справка</w:t>
            </w:r>
          </w:p>
          <w:p w:rsidR="00D0096B" w:rsidRDefault="00D0096B"/>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КРП</w:t>
            </w:r>
          </w:p>
        </w:tc>
      </w:tr>
      <w:tr w:rsidR="00D0096B">
        <w:trPr>
          <w:trHeight w:hRule="exact" w:val="430"/>
        </w:trPr>
        <w:tc>
          <w:tcPr>
            <w:tcW w:w="15618" w:type="dxa"/>
            <w:gridSpan w:val="36"/>
            <w:tcBorders>
              <w:top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w:t>
            </w:r>
          </w:p>
        </w:tc>
      </w:tr>
      <w:tr w:rsidR="00D0096B">
        <w:trPr>
          <w:trHeight w:hRule="exact" w:val="573"/>
        </w:trPr>
        <w:tc>
          <w:tcPr>
            <w:tcW w:w="11462" w:type="dxa"/>
            <w:gridSpan w:val="27"/>
          </w:tcPr>
          <w:p w:rsidR="00D0096B" w:rsidRDefault="00D0096B"/>
        </w:tc>
        <w:tc>
          <w:tcPr>
            <w:tcW w:w="4156" w:type="dxa"/>
            <w:gridSpan w:val="9"/>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№2</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регионального проекта</w:t>
            </w:r>
          </w:p>
        </w:tc>
      </w:tr>
      <w:tr w:rsidR="00D0096B">
        <w:trPr>
          <w:trHeight w:hRule="exact" w:val="573"/>
        </w:trPr>
        <w:tc>
          <w:tcPr>
            <w:tcW w:w="11462" w:type="dxa"/>
            <w:gridSpan w:val="27"/>
          </w:tcPr>
          <w:p w:rsidR="00D0096B" w:rsidRDefault="00D0096B"/>
        </w:tc>
        <w:tc>
          <w:tcPr>
            <w:tcW w:w="4156" w:type="dxa"/>
            <w:gridSpan w:val="9"/>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Цифровая образовательная среда (Кабардино-Балкарская Республика)</w:t>
            </w:r>
          </w:p>
        </w:tc>
      </w:tr>
      <w:tr w:rsidR="00D0096B">
        <w:trPr>
          <w:trHeight w:hRule="exact" w:val="860"/>
        </w:trPr>
        <w:tc>
          <w:tcPr>
            <w:tcW w:w="15618" w:type="dxa"/>
            <w:gridSpan w:val="36"/>
            <w:tcBorders>
              <w:bottom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МЕТОДИКА</w:t>
            </w:r>
          </w:p>
          <w:p w:rsidR="00D0096B" w:rsidRDefault="00D67720">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расчета дополнительных показателей регионального проекта</w:t>
            </w:r>
          </w:p>
        </w:tc>
      </w:tr>
      <w:tr w:rsidR="00D0096B">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702"/>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ЕД</w:t>
            </w:r>
          </w:p>
        </w:tc>
      </w:tr>
      <w:tr w:rsidR="00D0096B">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Количество субъектов Российской Федерации, в которых внедрена целевая </w:t>
            </w:r>
            <w:r>
              <w:rPr>
                <w:rFonts w:ascii="Times New Roman" w:eastAsia="Times New Roman" w:hAnsi="Times New Roman" w:cs="Times New Roman"/>
                <w:color w:val="000000"/>
                <w:spacing w:val="-2"/>
                <w:sz w:val="24"/>
              </w:rPr>
              <w:lastRenderedPageBreak/>
              <w:t>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единиц, нарастающим итогом</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Xi - число субъектов Российской Федерации, в которых </w:t>
            </w:r>
            <w:r>
              <w:rPr>
                <w:rFonts w:ascii="Times New Roman" w:eastAsia="Times New Roman" w:hAnsi="Times New Roman" w:cs="Times New Roman"/>
                <w:color w:val="000000"/>
                <w:spacing w:val="-2"/>
                <w:sz w:val="24"/>
              </w:rPr>
              <w:lastRenderedPageBreak/>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ЕД</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Данные мониторинга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ОБРАЗОВАНИ</w:t>
            </w:r>
            <w:r>
              <w:rPr>
                <w:rFonts w:ascii="Times New Roman" w:eastAsia="Times New Roman" w:hAnsi="Times New Roman" w:cs="Times New Roman"/>
                <w:color w:val="000000"/>
                <w:spacing w:val="-2"/>
                <w:sz w:val="24"/>
              </w:rPr>
              <w:lastRenderedPageBreak/>
              <w:t>Я И НАУКИ ПЕРМСКОГО КРАЯ</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Муниципальные образования </w:t>
            </w:r>
            <w:r>
              <w:rPr>
                <w:rFonts w:ascii="Times New Roman" w:eastAsia="Times New Roman" w:hAnsi="Times New Roman" w:cs="Times New Roman"/>
                <w:color w:val="000000"/>
                <w:spacing w:val="-2"/>
                <w:sz w:val="24"/>
              </w:rPr>
              <w:lastRenderedPageBreak/>
              <w:t>субъектов 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до 31 июля</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844"/>
                  <wp:effectExtent l="0" t="0" r="0"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4" cstate="print"/>
                          <a:stretch>
                            <a:fillRect/>
                          </a:stretch>
                        </pic:blipFill>
                        <pic:spPr>
                          <a:xfrm>
                            <a:off x="0" y="0"/>
                            <a:ext cx="1920317" cy="548844"/>
                          </a:xfrm>
                          <a:prstGeom prst="rect">
                            <a:avLst/>
                          </a:prstGeom>
                        </pic:spPr>
                      </pic:pic>
                    </a:graphicData>
                  </a:graphic>
                </wp:inline>
              </w:drawing>
            </w:r>
          </w:p>
        </w:tc>
      </w:tr>
      <w:tr w:rsidR="00D0096B">
        <w:trPr>
          <w:trHeight w:hRule="exact" w:val="1977"/>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Xi -  число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r>
      <w:tr w:rsidR="00D0096B">
        <w:trPr>
          <w:trHeight w:hRule="exact" w:val="196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192</w:t>
            </w:r>
          </w:p>
        </w:tc>
      </w:tr>
      <w:tr w:rsidR="00D0096B">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960"/>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ПРОЦ</w:t>
            </w:r>
          </w:p>
        </w:tc>
      </w:tr>
      <w:tr w:rsidR="00D0096B">
        <w:trPr>
          <w:trHeight w:hRule="exact" w:val="85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w:t>
            </w:r>
            <w:r>
              <w:rPr>
                <w:rFonts w:ascii="Times New Roman" w:eastAsia="Times New Roman" w:hAnsi="Times New Roman" w:cs="Times New Roman"/>
                <w:color w:val="000000"/>
                <w:spacing w:val="-2"/>
                <w:sz w:val="24"/>
              </w:rPr>
              <w:lastRenderedPageBreak/>
              <w:t>обучающихся по указанным программам, процент</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Yцоп - Число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w:t>
            </w:r>
            <w:r>
              <w:rPr>
                <w:rFonts w:ascii="Times New Roman" w:eastAsia="Times New Roman" w:hAnsi="Times New Roman" w:cs="Times New Roman"/>
                <w:color w:val="000000"/>
                <w:spacing w:val="-2"/>
                <w:sz w:val="24"/>
              </w:rPr>
              <w:lastRenderedPageBreak/>
              <w:t>обучения с использованием федеральной информационно-сервисной платформы цифровой образовательной среды, ЧЕЛ</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Данные мониторинга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ОБРАЗОВАНИЯ И НАУКИ ПЕРМСКОГО КРАЯ</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31 июля</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206"/>
                  <wp:effectExtent l="0" t="0" r="0" b="0"/>
                  <wp:docPr id="3" name="Picture 2" descr="Image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g"/>
                          <pic:cNvPicPr/>
                        </pic:nvPicPr>
                        <pic:blipFill>
                          <a:blip r:embed="rId5" cstate="print"/>
                          <a:stretch>
                            <a:fillRect/>
                          </a:stretch>
                        </pic:blipFill>
                        <pic:spPr>
                          <a:xfrm>
                            <a:off x="0" y="0"/>
                            <a:ext cx="1920317" cy="548206"/>
                          </a:xfrm>
                          <a:prstGeom prst="rect">
                            <a:avLst/>
                          </a:prstGeom>
                        </pic:spPr>
                      </pic:pic>
                    </a:graphicData>
                  </a:graphic>
                </wp:inline>
              </w:drawing>
            </w:r>
          </w:p>
        </w:tc>
      </w:tr>
      <w:tr w:rsidR="00D0096B">
        <w:trPr>
          <w:trHeight w:hRule="exact" w:val="286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Yцоп - число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w:t>
            </w:r>
            <w:r>
              <w:rPr>
                <w:rFonts w:ascii="Times New Roman" w:eastAsia="Times New Roman" w:hAnsi="Times New Roman" w:cs="Times New Roman"/>
                <w:color w:val="000000"/>
                <w:spacing w:val="-2"/>
                <w:sz w:val="24"/>
              </w:rPr>
              <w:lastRenderedPageBreak/>
              <w:t>индивидуальный план обучения с использованием федеральной информационно-сервисной платформы цифровой образовательной среды</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Yвсего - общее число обучающихся по программам общего образования, дополнительного образования для детей и среднего </w:t>
            </w:r>
          </w:p>
        </w:tc>
      </w:tr>
      <w:tr w:rsidR="00D0096B">
        <w:trPr>
          <w:trHeight w:hRule="exact" w:val="1949"/>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4"/>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193</w:t>
            </w:r>
          </w:p>
        </w:tc>
      </w:tr>
      <w:tr w:rsidR="00D0096B">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702"/>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both"/>
              <w:rPr>
                <w:rFonts w:ascii="Times New Roman" w:eastAsia="Times New Roman" w:hAnsi="Times New Roman" w:cs="Times New Roman"/>
                <w:color w:val="000000"/>
                <w:spacing w:val="-2"/>
                <w:sz w:val="24"/>
              </w:rPr>
            </w:pP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профессионального образования</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194</w:t>
            </w:r>
          </w:p>
        </w:tc>
      </w:tr>
      <w:tr w:rsidR="00D0096B">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Доля обучающихся по программам общего образования, дополнительного </w:t>
            </w:r>
            <w:r>
              <w:rPr>
                <w:rFonts w:ascii="Times New Roman" w:eastAsia="Times New Roman" w:hAnsi="Times New Roman" w:cs="Times New Roman"/>
                <w:color w:val="000000"/>
                <w:spacing w:val="-2"/>
                <w:sz w:val="24"/>
              </w:rPr>
              <w:lastRenderedPageBreak/>
              <w:t>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процент</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Yвсего - Общее число обучающихся по программам общего </w:t>
            </w:r>
            <w:r>
              <w:rPr>
                <w:rFonts w:ascii="Times New Roman" w:eastAsia="Times New Roman" w:hAnsi="Times New Roman" w:cs="Times New Roman"/>
                <w:color w:val="000000"/>
                <w:spacing w:val="-2"/>
                <w:sz w:val="24"/>
              </w:rPr>
              <w:lastRenderedPageBreak/>
              <w:t>образования, дополнительного образования для детей и среднего профессионального образования, ЧЕЛ</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Официальные данные </w:t>
            </w:r>
            <w:r>
              <w:rPr>
                <w:rFonts w:ascii="Times New Roman" w:eastAsia="Times New Roman" w:hAnsi="Times New Roman" w:cs="Times New Roman"/>
                <w:color w:val="000000"/>
                <w:spacing w:val="-2"/>
                <w:sz w:val="24"/>
              </w:rPr>
              <w:lastRenderedPageBreak/>
              <w:t>Федеральной службы государственной статистики</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ФЕДЕРАЛЬНАЯ СЛУЖБА ГОСУДАРСТВ</w:t>
            </w:r>
            <w:r>
              <w:rPr>
                <w:rFonts w:ascii="Times New Roman" w:eastAsia="Times New Roman" w:hAnsi="Times New Roman" w:cs="Times New Roman"/>
                <w:color w:val="000000"/>
                <w:spacing w:val="-2"/>
                <w:sz w:val="24"/>
              </w:rPr>
              <w:lastRenderedPageBreak/>
              <w:t>ЕННОЙ СТАТИСТИКИ</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15 марта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844"/>
                  <wp:effectExtent l="0" t="0" r="0" b="0"/>
                  <wp:docPr id="1" name="Picture 2" descr="Image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g"/>
                          <pic:cNvPicPr/>
                        </pic:nvPicPr>
                        <pic:blipFill>
                          <a:blip r:embed="rId5" cstate="print"/>
                          <a:stretch>
                            <a:fillRect/>
                          </a:stretch>
                        </pic:blipFill>
                        <pic:spPr>
                          <a:xfrm>
                            <a:off x="0" y="0"/>
                            <a:ext cx="1920317" cy="548844"/>
                          </a:xfrm>
                          <a:prstGeom prst="rect">
                            <a:avLst/>
                          </a:prstGeom>
                        </pic:spPr>
                      </pic:pic>
                    </a:graphicData>
                  </a:graphic>
                </wp:inline>
              </w:drawing>
            </w:r>
          </w:p>
        </w:tc>
      </w:tr>
      <w:tr w:rsidR="00D0096B">
        <w:trPr>
          <w:trHeight w:hRule="exact" w:val="28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Yцоп - число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Yвсего - общее число обучающихся по программам общего образования, дополнительного образования для детей и среднего профессионального образования</w:t>
            </w:r>
          </w:p>
        </w:tc>
      </w:tr>
      <w:tr w:rsidR="00D0096B">
        <w:trPr>
          <w:trHeight w:hRule="exact" w:val="2221"/>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2207"/>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195</w:t>
            </w:r>
          </w:p>
        </w:tc>
      </w:tr>
      <w:tr w:rsidR="00D0096B">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960"/>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ПРОЦ</w:t>
            </w:r>
          </w:p>
        </w:tc>
      </w:tr>
      <w:tr w:rsidR="00D0096B">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процент</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Yфцоп -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ЕД</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Данные мониторинга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ОБРАЗОВАНИЯ И НАУКИ ПЕРМСКОГО КРАЯ</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31 июля</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844"/>
                  <wp:effectExtent l="0" t="0" r="0" b="0"/>
                  <wp:docPr id="4" name="Picture 3" descr="Image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g"/>
                          <pic:cNvPicPr/>
                        </pic:nvPicPr>
                        <pic:blipFill>
                          <a:blip r:embed="rId6" cstate="print"/>
                          <a:stretch>
                            <a:fillRect/>
                          </a:stretch>
                        </pic:blipFill>
                        <pic:spPr>
                          <a:xfrm>
                            <a:off x="0" y="0"/>
                            <a:ext cx="1920317" cy="548844"/>
                          </a:xfrm>
                          <a:prstGeom prst="rect">
                            <a:avLst/>
                          </a:prstGeom>
                        </pic:spPr>
                      </pic:pic>
                    </a:graphicData>
                  </a:graphic>
                </wp:inline>
              </w:drawing>
            </w:r>
          </w:p>
        </w:tc>
      </w:tr>
      <w:tr w:rsidR="00D0096B">
        <w:trPr>
          <w:trHeight w:hRule="exact" w:val="28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Yфцоп -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Yорг - общее число образовательных организаций, реализующих программы общего образования, дополнительного </w:t>
            </w:r>
          </w:p>
        </w:tc>
      </w:tr>
      <w:tr w:rsidR="00D0096B">
        <w:trPr>
          <w:trHeight w:hRule="exact" w:val="1949"/>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934"/>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196</w:t>
            </w:r>
          </w:p>
        </w:tc>
      </w:tr>
      <w:tr w:rsidR="00D0096B">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1232"/>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both"/>
              <w:rPr>
                <w:rFonts w:ascii="Times New Roman" w:eastAsia="Times New Roman" w:hAnsi="Times New Roman" w:cs="Times New Roman"/>
                <w:color w:val="000000"/>
                <w:spacing w:val="-2"/>
                <w:sz w:val="24"/>
              </w:rPr>
            </w:pP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образования детей и среднего профессионального образования</w:t>
            </w:r>
          </w:p>
        </w:tc>
      </w:tr>
      <w:tr w:rsidR="00D0096B">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процент</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Yорг - общее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 ЕД</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Официальные данные Федеральной службы государственной статистики</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ФЕДЕРАЛЬНАЯ СЛУЖБА ГОСУДАРСТВЕННОЙ СТАТИСТИКИ</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15 марта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844"/>
                  <wp:effectExtent l="0" t="0" r="0" b="0"/>
                  <wp:docPr id="5" name="Picture 3" descr="Image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g"/>
                          <pic:cNvPicPr/>
                        </pic:nvPicPr>
                        <pic:blipFill>
                          <a:blip r:embed="rId6" cstate="print"/>
                          <a:stretch>
                            <a:fillRect/>
                          </a:stretch>
                        </pic:blipFill>
                        <pic:spPr>
                          <a:xfrm>
                            <a:off x="0" y="0"/>
                            <a:ext cx="1920317" cy="548844"/>
                          </a:xfrm>
                          <a:prstGeom prst="rect">
                            <a:avLst/>
                          </a:prstGeom>
                        </pic:spPr>
                      </pic:pic>
                    </a:graphicData>
                  </a:graphic>
                </wp:inline>
              </w:drawing>
            </w:r>
          </w:p>
        </w:tc>
      </w:tr>
      <w:tr w:rsidR="00D0096B">
        <w:trPr>
          <w:trHeight w:hRule="exact" w:val="286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Yфцоп -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Yорг - общее число образовательных организаций, реализующих программы общего </w:t>
            </w:r>
          </w:p>
        </w:tc>
      </w:tr>
      <w:tr w:rsidR="00D0096B">
        <w:trPr>
          <w:trHeight w:hRule="exact" w:val="180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80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197</w:t>
            </w:r>
          </w:p>
        </w:tc>
      </w:tr>
      <w:tr w:rsidR="00D0096B">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1763"/>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both"/>
              <w:rPr>
                <w:rFonts w:ascii="Times New Roman" w:eastAsia="Times New Roman" w:hAnsi="Times New Roman" w:cs="Times New Roman"/>
                <w:color w:val="000000"/>
                <w:spacing w:val="-2"/>
                <w:sz w:val="24"/>
              </w:rPr>
            </w:pP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0096B">
            <w:pPr>
              <w:spacing w:line="230" w:lineRule="auto"/>
              <w:jc w:val="center"/>
              <w:rPr>
                <w:rFonts w:ascii="Times New Roman" w:eastAsia="Times New Roman" w:hAnsi="Times New Roman" w:cs="Times New Roman"/>
                <w:color w:val="000000"/>
                <w:spacing w:val="-2"/>
                <w:sz w:val="24"/>
              </w:rPr>
            </w:pP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образования, дополнительного образования детей и среднего профессионального образования</w:t>
            </w:r>
          </w:p>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198</w:t>
            </w:r>
          </w:p>
        </w:tc>
      </w:tr>
      <w:tr w:rsidR="00D0096B">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960"/>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ПРОЦ</w:t>
            </w:r>
          </w:p>
        </w:tc>
      </w:tr>
      <w:tr w:rsidR="00D0096B">
        <w:trPr>
          <w:trHeight w:hRule="exact" w:val="85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процент</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Yорг - общее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 ЕД</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Официальные данные Федеральной службы государственной статистики</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ФЕДЕРАЛЬНАЯ СЛУЖБА ГОСУДАРСТВЕННОЙ СТАТИСТИКИ</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15 марта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206"/>
                  <wp:effectExtent l="0" t="0" r="0" b="0"/>
                  <wp:docPr id="6" name="Picture 4" descr="Image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4.jpg"/>
                          <pic:cNvPicPr/>
                        </pic:nvPicPr>
                        <pic:blipFill>
                          <a:blip r:embed="rId7" cstate="print"/>
                          <a:stretch>
                            <a:fillRect/>
                          </a:stretch>
                        </pic:blipFill>
                        <pic:spPr>
                          <a:xfrm>
                            <a:off x="0" y="0"/>
                            <a:ext cx="1920317" cy="548206"/>
                          </a:xfrm>
                          <a:prstGeom prst="rect">
                            <a:avLst/>
                          </a:prstGeom>
                        </pic:spPr>
                      </pic:pic>
                    </a:graphicData>
                  </a:graphic>
                </wp:inline>
              </w:drawing>
            </w:r>
          </w:p>
        </w:tc>
      </w:tr>
      <w:tr w:rsidR="00D0096B">
        <w:trPr>
          <w:trHeight w:hRule="exact" w:val="286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Yгориз  - число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Yорг - общее число </w:t>
            </w:r>
            <w:r>
              <w:rPr>
                <w:rFonts w:ascii="Times New Roman" w:eastAsia="Times New Roman" w:hAnsi="Times New Roman" w:cs="Times New Roman"/>
                <w:color w:val="000000"/>
                <w:spacing w:val="-2"/>
                <w:sz w:val="24"/>
              </w:rPr>
              <w:lastRenderedPageBreak/>
              <w:t>обучающихся по программам общего образования и среднего профессионального образования</w:t>
            </w:r>
          </w:p>
        </w:tc>
      </w:tr>
      <w:tr w:rsidR="00D0096B">
        <w:trPr>
          <w:trHeight w:hRule="exact" w:val="1562"/>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547"/>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199</w:t>
            </w:r>
          </w:p>
        </w:tc>
      </w:tr>
      <w:tr w:rsidR="00D0096B">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процент</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Yгориз - число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ЧЕЛ</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Данные мониторинга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ОБРАЗОВАНИЯ И НАУКИ ПЕРМСКОГО КРАЯ</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31 июля</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844"/>
                  <wp:effectExtent l="0" t="0" r="0" b="0"/>
                  <wp:docPr id="7" name="Picture 4" descr="Image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4.jpg"/>
                          <pic:cNvPicPr/>
                        </pic:nvPicPr>
                        <pic:blipFill>
                          <a:blip r:embed="rId7" cstate="print"/>
                          <a:stretch>
                            <a:fillRect/>
                          </a:stretch>
                        </pic:blipFill>
                        <pic:spPr>
                          <a:xfrm>
                            <a:off x="0" y="0"/>
                            <a:ext cx="1920317" cy="548844"/>
                          </a:xfrm>
                          <a:prstGeom prst="rect">
                            <a:avLst/>
                          </a:prstGeom>
                        </pic:spPr>
                      </pic:pic>
                    </a:graphicData>
                  </a:graphic>
                </wp:inline>
              </w:drawing>
            </w:r>
          </w:p>
        </w:tc>
      </w:tr>
      <w:tr w:rsidR="00D0096B">
        <w:trPr>
          <w:trHeight w:hRule="exact" w:val="286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Yгориз  - число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Yорг - общее число обучающихся по программам общего образования и среднего профессионального образования</w:t>
            </w:r>
          </w:p>
        </w:tc>
      </w:tr>
      <w:tr w:rsidR="00D0096B">
        <w:trPr>
          <w:trHeight w:hRule="exact" w:val="1561"/>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154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200</w:t>
            </w:r>
          </w:p>
        </w:tc>
      </w:tr>
      <w:tr w:rsidR="00D0096B">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960"/>
        </w:trPr>
        <w:tc>
          <w:tcPr>
            <w:tcW w:w="15618"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D0096B" w:rsidRDefault="00D67720">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ПРОЦ</w:t>
            </w:r>
          </w:p>
        </w:tc>
      </w:tr>
      <w:tr w:rsidR="00D0096B">
        <w:trPr>
          <w:trHeight w:hRule="exact" w:val="85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процент</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Yпед - число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ЧЕЛ</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Данные мониторинга</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ОБРАЗОВАНИЯ И НАУКИ ПЕРМСКОГО КРАЯ</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31 июля</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206"/>
                  <wp:effectExtent l="0" t="0" r="0" b="0"/>
                  <wp:docPr id="8" name="Picture 5" descr="Image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5.jpg"/>
                          <pic:cNvPicPr/>
                        </pic:nvPicPr>
                        <pic:blipFill>
                          <a:blip r:embed="rId8" cstate="print"/>
                          <a:stretch>
                            <a:fillRect/>
                          </a:stretch>
                        </pic:blipFill>
                        <pic:spPr>
                          <a:xfrm>
                            <a:off x="0" y="0"/>
                            <a:ext cx="1920317" cy="548206"/>
                          </a:xfrm>
                          <a:prstGeom prst="rect">
                            <a:avLst/>
                          </a:prstGeom>
                        </pic:spPr>
                      </pic:pic>
                    </a:graphicData>
                  </a:graphic>
                </wp:inline>
              </w:drawing>
            </w:r>
          </w:p>
        </w:tc>
      </w:tr>
      <w:tr w:rsidR="00D0096B">
        <w:trPr>
          <w:trHeight w:hRule="exact" w:val="2594"/>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Yпед - число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YобщПед - общее число педагогических работников общего образования</w:t>
            </w:r>
          </w:p>
        </w:tc>
      </w:tr>
      <w:tr w:rsidR="00D0096B">
        <w:trPr>
          <w:trHeight w:hRule="exact" w:val="259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r w:rsidR="00D0096B">
        <w:trPr>
          <w:trHeight w:hRule="exact" w:val="430"/>
        </w:trPr>
        <w:tc>
          <w:tcPr>
            <w:tcW w:w="15618" w:type="dxa"/>
            <w:gridSpan w:val="36"/>
            <w:tcBorders>
              <w:top w:val="single" w:sz="5" w:space="0" w:color="000000"/>
              <w:bottom w:val="single" w:sz="5" w:space="0" w:color="000000"/>
            </w:tcBorders>
            <w:shd w:val="clear" w:color="auto" w:fill="auto"/>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w:t>
            </w:r>
          </w:p>
        </w:tc>
      </w:tr>
      <w:tr w:rsidR="00D0096B">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D0096B">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2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D0096B">
        <w:trPr>
          <w:trHeight w:hRule="exact" w:val="86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w:t>
            </w:r>
          </w:p>
        </w:tc>
        <w:tc>
          <w:tcPr>
            <w:tcW w:w="329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процент</w:t>
            </w:r>
          </w:p>
        </w:tc>
        <w:tc>
          <w:tcPr>
            <w:tcW w:w="243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YобщПед - общее число педагогических работников общего образования, ЧЕЛ</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Официальные данные Федеральной службы государственной статистики</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ФЕДЕРАЛЬНАЯ СЛУЖБА ГОСУДАРСТВЕННОЙ СТАТИСТИКИ</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w:t>
            </w:r>
          </w:p>
        </w:tc>
        <w:tc>
          <w:tcPr>
            <w:tcW w:w="172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15 марта</w:t>
            </w: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009" w:type="dxa"/>
            <w:gridSpan w:val="6"/>
            <w:tcBorders>
              <w:top w:val="single" w:sz="5" w:space="0" w:color="000000"/>
              <w:left w:val="single" w:sz="5" w:space="0" w:color="000000"/>
              <w:right w:val="single" w:sz="5" w:space="0" w:color="000000"/>
            </w:tcBorders>
            <w:vAlign w:val="center"/>
          </w:tcPr>
          <w:p w:rsidR="00D0096B" w:rsidRDefault="00D67720">
            <w:pPr>
              <w:jc w:val="right"/>
            </w:pPr>
            <w:r>
              <w:rPr>
                <w:noProof/>
              </w:rPr>
              <w:drawing>
                <wp:inline distT="0" distB="0" distL="0" distR="0">
                  <wp:extent cx="1920317" cy="548844"/>
                  <wp:effectExtent l="0" t="0" r="0" b="0"/>
                  <wp:docPr id="9" name="Picture 5" descr="Image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5.jpg"/>
                          <pic:cNvPicPr/>
                        </pic:nvPicPr>
                        <pic:blipFill>
                          <a:blip r:embed="rId8" cstate="print"/>
                          <a:stretch>
                            <a:fillRect/>
                          </a:stretch>
                        </pic:blipFill>
                        <pic:spPr>
                          <a:xfrm>
                            <a:off x="0" y="0"/>
                            <a:ext cx="1920317" cy="548844"/>
                          </a:xfrm>
                          <a:prstGeom prst="rect">
                            <a:avLst/>
                          </a:prstGeom>
                        </pic:spPr>
                      </pic:pic>
                    </a:graphicData>
                  </a:graphic>
                </wp:inline>
              </w:drawing>
            </w:r>
          </w:p>
        </w:tc>
      </w:tr>
      <w:tr w:rsidR="00D0096B">
        <w:trPr>
          <w:trHeight w:hRule="exact" w:val="259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Yпед - число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p w:rsidR="00D0096B" w:rsidRDefault="00D0096B">
            <w:pPr>
              <w:spacing w:line="230" w:lineRule="auto"/>
              <w:jc w:val="center"/>
              <w:rPr>
                <w:rFonts w:ascii="Times New Roman" w:eastAsia="Times New Roman" w:hAnsi="Times New Roman" w:cs="Times New Roman"/>
                <w:color w:val="000000"/>
                <w:spacing w:val="-2"/>
                <w:sz w:val="24"/>
              </w:rPr>
            </w:pPr>
          </w:p>
          <w:p w:rsidR="00D0096B" w:rsidRDefault="00D67720">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YобщПед - общее число педагогических работников общего образования</w:t>
            </w:r>
          </w:p>
        </w:tc>
      </w:tr>
      <w:tr w:rsidR="00D0096B">
        <w:trPr>
          <w:trHeight w:hRule="exact" w:val="2594"/>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D0096B" w:rsidRDefault="00D0096B"/>
        </w:tc>
        <w:tc>
          <w:tcPr>
            <w:tcW w:w="3009" w:type="dxa"/>
            <w:gridSpan w:val="6"/>
            <w:vMerge/>
            <w:tcBorders>
              <w:left w:val="single" w:sz="5" w:space="0" w:color="000000"/>
              <w:bottom w:val="single" w:sz="5" w:space="0" w:color="000000"/>
              <w:right w:val="single" w:sz="5" w:space="0" w:color="000000"/>
            </w:tcBorders>
            <w:shd w:val="clear" w:color="auto" w:fill="auto"/>
          </w:tcPr>
          <w:p w:rsidR="00D0096B" w:rsidRDefault="00D0096B"/>
        </w:tc>
      </w:tr>
    </w:tbl>
    <w:p w:rsidR="00D67720" w:rsidRDefault="00D67720"/>
    <w:sectPr w:rsidR="00D67720" w:rsidSect="008851B0">
      <w:pgSz w:w="16834" w:h="11909" w:orient="landscape"/>
      <w:pgMar w:top="1134" w:right="576" w:bottom="526" w:left="576" w:header="1134" w:footer="526"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096B"/>
    <w:rsid w:val="000A60D0"/>
    <w:rsid w:val="00246847"/>
    <w:rsid w:val="008851B0"/>
    <w:rsid w:val="00C20013"/>
    <w:rsid w:val="00D0096B"/>
    <w:rsid w:val="00D67720"/>
    <w:rsid w:val="00EF6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B0"/>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35295</Words>
  <Characters>201184</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RP_Cifrovaya_obrazovatel'naya_sreda_(Kabardino-Balkarskaya_Respublika)</vt:lpstr>
    </vt:vector>
  </TitlesOfParts>
  <Company>Stimulsoft Reports 2018.2.2 from 26 April 2018</Company>
  <LinksUpToDate>false</LinksUpToDate>
  <CharactersWithSpaces>236007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RP_Cifrovaya_obrazovatel'naya_sreda_(Kabardino-Balkarskaya_Respublika)</dc:title>
  <dc:subject>RP_Cifrovaya_obrazovatel'naya_sreda_(Kabardino-Balkarskaya_Respublika)</dc:subject>
  <dc:creator>User</dc:creator>
  <cp:lastModifiedBy>Админ</cp:lastModifiedBy>
  <cp:revision>2</cp:revision>
  <dcterms:created xsi:type="dcterms:W3CDTF">2020-11-22T12:33:00Z</dcterms:created>
  <dcterms:modified xsi:type="dcterms:W3CDTF">2020-11-22T12:33:00Z</dcterms:modified>
</cp:coreProperties>
</file>