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CF" w:rsidRPr="00985BCF" w:rsidRDefault="00071F6E" w:rsidP="00985BCF">
      <w:pPr>
        <w:spacing w:after="240" w:line="300" w:lineRule="atLeast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Консультация: «</w:t>
      </w:r>
      <w:r w:rsidR="00985BCF" w:rsidRPr="00985BCF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О предо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ставлении справок с места учёбы»</w:t>
      </w:r>
    </w:p>
    <w:p w:rsidR="00C2726A" w:rsidRPr="00353CA3" w:rsidRDefault="00C2726A" w:rsidP="00C2726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53CA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C2726A" w:rsidRPr="00353CA3" w:rsidRDefault="00E67380" w:rsidP="00C2726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D01E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="00E20560" w:rsidRPr="00071F6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4</w:t>
      </w:r>
      <w:r w:rsidR="00C2726A" w:rsidRPr="00353CA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 w:rsidR="00E20560" w:rsidRPr="00071F6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9</w:t>
      </w:r>
      <w:r w:rsidR="00C2726A" w:rsidRPr="00353CA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E20560" w:rsidRPr="00071F6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7</w:t>
      </w:r>
      <w:r w:rsidR="00C2726A" w:rsidRPr="00353CA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C2726A" w:rsidRPr="00071F6E" w:rsidRDefault="00C2726A" w:rsidP="00C2726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53CA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2643FD" w:rsidRPr="00071F6E" w:rsidRDefault="002643FD" w:rsidP="00071F6E">
      <w:pPr>
        <w:spacing w:after="0" w:line="36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985BCF" w:rsidRPr="00071F6E" w:rsidRDefault="00985BCF" w:rsidP="00071F6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071F6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В соответствии с Федеральным законом от 28.12.2013 № 400-ФЗ «О страховых пенсиях» одним из условий назначения страховой пенсии по случаю потери кормильца, установления повышенной  фиксированной выплаты к страховой  пенсии по старости, по инвалидности является нахождение лица, достигшего 18 лет, на иждивении (детям, не достигшим возраста 18 лет, иждивенчество предполагается). Аналогичное условие содержит и Федеральный закон от 15.12.2001 № 166-ФЗ «О государственном пенсионном обеспечении в Российской Федерации». </w:t>
      </w:r>
      <w:proofErr w:type="gramStart"/>
      <w:r w:rsidRPr="00071F6E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Названными федеральными законами определено, что нетрудоспособные члены семьи считаются состоящими на иждивении кормильца, если они находились на его полном содержании или получали от него помощь, которая была для них постоянным и основным источником средств к существованию.</w:t>
      </w:r>
      <w:proofErr w:type="gramEnd"/>
    </w:p>
    <w:p w:rsidR="00985BCF" w:rsidRPr="00985BCF" w:rsidRDefault="00985BCF" w:rsidP="00071F6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proofErr w:type="gramStart"/>
      <w:r w:rsidRPr="00985BC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Необходимость для подтверждения факта нахождения лица на иждивении, в целях установления пенсии, определен подпунктом «з» пункта 7 и подпунктом «в» пункта 8 Перечня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</w:t>
      </w:r>
      <w:proofErr w:type="gramEnd"/>
      <w:r w:rsidRPr="00985BC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государственному пенсионному обеспечению, утвержденного Приказом Минтруда и социальной защиты Российской Федерации от 28.11.2014 № 958н.</w:t>
      </w:r>
    </w:p>
    <w:p w:rsidR="00985BCF" w:rsidRPr="00985BCF" w:rsidRDefault="00985BCF" w:rsidP="00071F6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proofErr w:type="gramStart"/>
      <w:r w:rsidRPr="00985BC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В целях установления страховой пенсии по случаю потери кормильца, установления повышенной  фиксированной выплаты к страховой  пенсии по старости, по инвалидности  лицам, достигшим возраста 18 лет и обучающимся по очной форме обучения в учебных заведениях, справка с места учебы, с указанием срока окончания учебы предоставляется один раз при назначении пенсии либо установления повышенной фиксированной  выплаты, с учебных заведений с кем заключены</w:t>
      </w:r>
      <w:proofErr w:type="gramEnd"/>
      <w:r w:rsidRPr="00985BC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Соглашения </w:t>
      </w:r>
      <w:proofErr w:type="gramStart"/>
      <w:r w:rsidRPr="00985BC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985BC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информационном взаимодействии. Данные выплаты осуществляются до достижения возраста 23 лет, при продолжении учебы по очной форме обучения.</w:t>
      </w:r>
    </w:p>
    <w:p w:rsidR="00985BCF" w:rsidRPr="00985BCF" w:rsidRDefault="00985BCF" w:rsidP="00071F6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985BC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На сегодняшний день между 25 учебными заведениями республики  и ГУ ОПФР по КБР заключено Соглашение по предоставлению ежегодно (либо 2 раза в год по Соглашению) информации об отчисленных либо переведенных на заочный вид обучения студентах. Данными </w:t>
      </w:r>
      <w:r w:rsidRPr="00985BC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lastRenderedPageBreak/>
        <w:t xml:space="preserve">учебными заведениями справка с места учебы, с указанием срока окончания учебы предоставляется один раз при назначении пенсии. </w:t>
      </w:r>
    </w:p>
    <w:p w:rsidR="003D01EC" w:rsidRPr="002643FD" w:rsidRDefault="00985BCF" w:rsidP="00071F6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proofErr w:type="gramStart"/>
      <w:r w:rsidRPr="00985BC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Справки предоставляют  ежегодно студенты, обучающиеся за пределами республики и студенты, учебных заведений республики, с кем не заключены соглашения, в целях </w:t>
      </w:r>
      <w:r w:rsidR="00E6059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выявления фактов отчислений </w:t>
      </w:r>
      <w:r w:rsidRPr="00985BC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(либо перевода на заочное обучение - ОЗО) из числа студентов очного обучения, при котором теряется право на пенсию по случаю потери кормильца</w:t>
      </w:r>
      <w:r w:rsidR="00E6059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и повышения фиксированной выплаты к страховой пенсии </w:t>
      </w:r>
      <w:r w:rsidRPr="00985BCF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(независимо от отметки в справке сроков окончания учебного заведения).</w:t>
      </w:r>
      <w:bookmarkStart w:id="0" w:name="_GoBack"/>
      <w:bookmarkEnd w:id="0"/>
      <w:proofErr w:type="gramEnd"/>
    </w:p>
    <w:p w:rsidR="00C34940" w:rsidRPr="00353CA3" w:rsidRDefault="00C34940" w:rsidP="00071F6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353CA3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</w:t>
      </w:r>
    </w:p>
    <w:p w:rsidR="00071F6E" w:rsidRDefault="00071F6E" w:rsidP="00071F6E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071F6E" w:rsidRDefault="00071F6E" w:rsidP="00071F6E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071F6E" w:rsidRDefault="00071F6E" w:rsidP="00071F6E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071F6E" w:rsidRDefault="00071F6E" w:rsidP="00071F6E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071F6E" w:rsidRDefault="00071F6E" w:rsidP="00071F6E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071F6E" w:rsidRDefault="00071F6E" w:rsidP="00071F6E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>
          <w:rPr>
            <w:rStyle w:val="a5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071F6E" w:rsidRDefault="00071F6E" w:rsidP="00071F6E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071F6E" w:rsidRDefault="00071F6E" w:rsidP="00071F6E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u w:val="single"/>
          <w:lang w:val="en-US"/>
        </w:rPr>
      </w:pPr>
    </w:p>
    <w:p w:rsidR="00471664" w:rsidRPr="00E6059F" w:rsidRDefault="00471664" w:rsidP="00071F6E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C2726A" w:rsidRPr="00E6059F" w:rsidRDefault="00C2726A" w:rsidP="00071F6E">
      <w:pPr>
        <w:tabs>
          <w:tab w:val="left" w:pos="7230"/>
        </w:tabs>
        <w:spacing w:line="360" w:lineRule="auto"/>
        <w:rPr>
          <w:rFonts w:ascii="Arial" w:hAnsi="Arial" w:cs="Arial"/>
          <w:color w:val="595959" w:themeColor="text1" w:themeTint="A6"/>
          <w:lang w:val="en-US"/>
        </w:rPr>
      </w:pPr>
    </w:p>
    <w:sectPr w:rsidR="00C2726A" w:rsidRPr="00E6059F" w:rsidSect="00C2726A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40"/>
    <w:rsid w:val="00071F6E"/>
    <w:rsid w:val="002643FD"/>
    <w:rsid w:val="00353CA3"/>
    <w:rsid w:val="003D01EC"/>
    <w:rsid w:val="00471664"/>
    <w:rsid w:val="00985BCF"/>
    <w:rsid w:val="00C2726A"/>
    <w:rsid w:val="00C34940"/>
    <w:rsid w:val="00E20560"/>
    <w:rsid w:val="00E6059F"/>
    <w:rsid w:val="00E6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9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272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9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272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6</cp:revision>
  <dcterms:created xsi:type="dcterms:W3CDTF">2015-08-11T12:10:00Z</dcterms:created>
  <dcterms:modified xsi:type="dcterms:W3CDTF">2017-09-14T13:30:00Z</dcterms:modified>
</cp:coreProperties>
</file>